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B86B8EA" w14:textId="77777777" w:rsidR="00C5704B" w:rsidRPr="00C5704B" w:rsidRDefault="00C5704B" w:rsidP="00C5704B">
      <w:pPr>
        <w:pStyle w:val="BodyText"/>
      </w:pPr>
    </w:p>
    <w:p w14:paraId="70C2074F" w14:textId="4EC66FF9" w:rsidR="005055E9" w:rsidRDefault="00E91BAB" w:rsidP="005055E9">
      <w:r>
        <w:rPr>
          <w:noProof/>
          <w:lang w:eastAsia="en-AU"/>
        </w:rPr>
        <mc:AlternateContent>
          <mc:Choice Requires="wps">
            <w:drawing>
              <wp:anchor distT="0" distB="0" distL="114300" distR="114300" simplePos="0" relativeHeight="251666432" behindDoc="0" locked="1" layoutInCell="1" allowOverlap="1" wp14:anchorId="27EB3B16" wp14:editId="769E0169">
                <wp:simplePos x="0" y="0"/>
                <wp:positionH relativeFrom="rightMargin">
                  <wp:posOffset>-6120765</wp:posOffset>
                </wp:positionH>
                <wp:positionV relativeFrom="page">
                  <wp:posOffset>10145395</wp:posOffset>
                </wp:positionV>
                <wp:extent cx="6515735" cy="442595"/>
                <wp:effectExtent l="0" t="0" r="0" b="0"/>
                <wp:wrapNone/>
                <wp:docPr id="10" name="Text Box 60" descr="SMEC banner" title="SMEC bann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735" cy="442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200643" w14:textId="77777777" w:rsidR="004E469D" w:rsidRPr="005055E9" w:rsidRDefault="004E469D" w:rsidP="005055E9">
                            <w:pPr>
                              <w:spacing w:line="216" w:lineRule="auto"/>
                              <w:jc w:val="right"/>
                              <w:rPr>
                                <w:color w:val="FFFFFF"/>
                                <w:sz w:val="28"/>
                                <w:szCs w:val="28"/>
                              </w:rPr>
                            </w:pPr>
                            <w:r w:rsidRPr="005055E9">
                              <w:rPr>
                                <w:color w:val="FFFFFF"/>
                                <w:sz w:val="28"/>
                                <w:szCs w:val="28"/>
                              </w:rPr>
                              <w:t>www.smec.com</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0" o:spid="_x0000_s1026" type="#_x0000_t202" alt="Title: SMEC banner - Description: SMEC banner" style="position:absolute;margin-left:-481.95pt;margin-top:798.85pt;width:513.05pt;height:34.85pt;z-index:25166643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" filled="f" stroked="f">
                <v:textbox inset=",7.2pt,,7.2pt">
                  <w:txbxContent>
                    <w:p w14:paraId="55200643" w14:textId="77777777" w:rsidR="004E469D" w:rsidRPr="005055E9" w:rsidRDefault="004E469D" w:rsidP="005055E9">
                      <w:pPr>
                        <w:spacing w:line="216" w:lineRule="auto"/>
                        <w:jc w:val="right"/>
                        <w:rPr>
                          <w:color w:val="FFFFFF"/>
                          <w:sz w:val="28"/>
                          <w:szCs w:val="28"/>
                        </w:rPr>
                      </w:pPr>
                      <w:r w:rsidRPr="005055E9">
                        <w:rPr>
                          <w:color w:val="FFFFFF"/>
                          <w:sz w:val="28"/>
                          <w:szCs w:val="28"/>
                        </w:rPr>
                        <w:t>www.smec.com</w:t>
                      </w:r>
                    </w:p>
                  </w:txbxContent>
                </v:textbox>
                <w10:wrap anchorx="margin" anchory="page"/>
                <w10:anchorlock/>
              </v:shape>
            </w:pict>
          </mc:Fallback>
        </mc:AlternateContent>
      </w:r>
      <w:r>
        <w:rPr>
          <w:noProof/>
          <w:lang w:eastAsia="en-AU"/>
        </w:rPr>
        <mc:AlternateContent>
          <mc:Choice Requires="wps">
            <w:drawing>
              <wp:anchor distT="0" distB="0" distL="114300" distR="114300" simplePos="0" relativeHeight="251665408" behindDoc="0" locked="1" layoutInCell="1" allowOverlap="1" wp14:anchorId="064670DF" wp14:editId="1487B2DA">
                <wp:simplePos x="0" y="0"/>
                <wp:positionH relativeFrom="rightMargin">
                  <wp:posOffset>-6116955</wp:posOffset>
                </wp:positionH>
                <wp:positionV relativeFrom="page">
                  <wp:posOffset>2524125</wp:posOffset>
                </wp:positionV>
                <wp:extent cx="6515735" cy="3238500"/>
                <wp:effectExtent l="0" t="0" r="0" b="0"/>
                <wp:wrapNone/>
                <wp:docPr id="9" name="Text Box 59" descr="Report title" title="Report titl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735" cy="3238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75E289" w14:textId="6BE49FF8" w:rsidR="004E469D" w:rsidRPr="00583474" w:rsidRDefault="004E469D" w:rsidP="009378DC">
                            <w:pPr>
                              <w:pStyle w:val="CoverPageHeading"/>
                              <w:rPr>
                                <w:color w:val="595959" w:themeColor="text2"/>
                                <w:sz w:val="48"/>
                                <w:szCs w:val="48"/>
                              </w:rPr>
                            </w:pPr>
                            <w:r>
                              <w:rPr>
                                <w:b/>
                                <w:sz w:val="72"/>
                                <w:szCs w:val="72"/>
                              </w:rPr>
                              <w:t>E</w:t>
                            </w:r>
                            <w:r w:rsidRPr="00D626CB">
                              <w:rPr>
                                <w:b/>
                                <w:sz w:val="72"/>
                                <w:szCs w:val="72"/>
                              </w:rPr>
                              <w:t xml:space="preserve">nvironmental </w:t>
                            </w:r>
                            <w:r>
                              <w:rPr>
                                <w:b/>
                                <w:sz w:val="72"/>
                                <w:szCs w:val="72"/>
                              </w:rPr>
                              <w:t>field s</w:t>
                            </w:r>
                            <w:r w:rsidRPr="00D626CB">
                              <w:rPr>
                                <w:b/>
                                <w:sz w:val="72"/>
                                <w:szCs w:val="72"/>
                              </w:rPr>
                              <w:t>urvey</w:t>
                            </w:r>
                            <w:r>
                              <w:rPr>
                                <w:b/>
                                <w:sz w:val="72"/>
                                <w:szCs w:val="72"/>
                              </w:rPr>
                              <w:t xml:space="preserve"> of</w:t>
                            </w:r>
                            <w:r w:rsidRPr="009378DC">
                              <w:t xml:space="preserve"> </w:t>
                            </w:r>
                            <w:r>
                              <w:rPr>
                                <w:b/>
                                <w:sz w:val="72"/>
                                <w:szCs w:val="72"/>
                              </w:rPr>
                              <w:t>Commonwealth land</w:t>
                            </w:r>
                            <w:r>
                              <w:rPr>
                                <w:b/>
                                <w:sz w:val="72"/>
                                <w:szCs w:val="72"/>
                              </w:rPr>
                              <w:br/>
                            </w:r>
                            <w:r w:rsidRPr="009378DC">
                              <w:rPr>
                                <w:b/>
                                <w:sz w:val="72"/>
                                <w:szCs w:val="72"/>
                              </w:rPr>
                              <w:t>at Badgerys Creek</w:t>
                            </w:r>
                          </w:p>
                          <w:p w14:paraId="2F254AB8" w14:textId="77777777" w:rsidR="004E469D" w:rsidRDefault="004E469D" w:rsidP="00140112">
                            <w:pPr>
                              <w:pStyle w:val="CoverPageDate"/>
                              <w:rPr>
                                <w:color w:val="595959" w:themeColor="text2"/>
                              </w:rPr>
                            </w:pPr>
                          </w:p>
                          <w:p w14:paraId="44B048C3" w14:textId="6A7C09EB" w:rsidR="004E469D" w:rsidRDefault="004E469D" w:rsidP="00140112">
                            <w:pPr>
                              <w:pStyle w:val="CoverPageDate"/>
                              <w:rPr>
                                <w:color w:val="595959" w:themeColor="text2"/>
                              </w:rPr>
                            </w:pPr>
                            <w:r>
                              <w:rPr>
                                <w:color w:val="595959" w:themeColor="text2"/>
                              </w:rPr>
                              <w:t>Report prepared for Western Sydney Unit</w:t>
                            </w:r>
                            <w:r>
                              <w:rPr>
                                <w:color w:val="595959" w:themeColor="text2"/>
                              </w:rPr>
                              <w:br/>
                              <w:t>Department of Infrastructure and Regional Development</w:t>
                            </w:r>
                          </w:p>
                          <w:p w14:paraId="7B8B28AB" w14:textId="77777777" w:rsidR="004E469D" w:rsidRDefault="004E469D" w:rsidP="00140112">
                            <w:pPr>
                              <w:pStyle w:val="CoverPageDate"/>
                              <w:rPr>
                                <w:color w:val="595959" w:themeColor="text2"/>
                              </w:rPr>
                            </w:pPr>
                          </w:p>
                          <w:p w14:paraId="24A42F5E" w14:textId="7F483EA2" w:rsidR="004E469D" w:rsidRPr="00583474" w:rsidRDefault="004E469D" w:rsidP="006F379A">
                            <w:pPr>
                              <w:pStyle w:val="CoverPageDate"/>
                              <w:rPr>
                                <w:color w:val="595959" w:themeColor="text2"/>
                              </w:rPr>
                            </w:pPr>
                            <w:r>
                              <w:rPr>
                                <w:color w:val="595959" w:themeColor="text2"/>
                              </w:rPr>
                              <w:t>October 2014</w:t>
                            </w:r>
                          </w:p>
                        </w:txbxContent>
                      </wps:txbx>
                      <wps:bodyPr rot="0" vert="horz" wrap="square" lIns="91440" tIns="45720" rIns="91440" bIns="45720" anchor="b" anchorCtr="0" upright="1">
                        <a:noAutofit/>
                      </wps:bodyPr>
                    </wps:wsp>
                  </a:graphicData>
                </a:graphic>
                <wp14:sizeRelH relativeFrom="margin">
                  <wp14:pctWidth>0</wp14:pctWidth>
                </wp14:sizeRelH>
                <wp14:sizeRelV relativeFrom="margin">
                  <wp14:pctHeight>0</wp14:pctHeight>
                </wp14:sizeRelV>
              </wp:anchor>
            </w:drawing>
          </mc:Choice>
          <mc:Fallback>
            <w:pict>
              <v:shape id="Text Box 59" o:spid="_x0000_s1027" type="#_x0000_t202" alt="Title: Report title - Description: Report title" style="position:absolute;margin-left:-481.65pt;margin-top:198.75pt;width:513.05pt;height:255pt;z-index:25166540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" filled="f" stroked="f">
                <v:textbox>
                  <w:txbxContent>
                    <w:p w14:paraId="0475E289" w14:textId="6BE49FF8" w:rsidR="004E469D" w:rsidRPr="00583474" w:rsidRDefault="004E469D" w:rsidP="009378DC">
                      <w:pPr>
                        <w:pStyle w:val="CoverPageHeading"/>
                        <w:rPr>
                          <w:color w:val="595959" w:themeColor="text2"/>
                          <w:sz w:val="48"/>
                          <w:szCs w:val="48"/>
                        </w:rPr>
                      </w:pPr>
                      <w:r>
                        <w:rPr>
                          <w:b/>
                          <w:sz w:val="72"/>
                          <w:szCs w:val="72"/>
                        </w:rPr>
                        <w:t>E</w:t>
                      </w:r>
                      <w:r w:rsidRPr="00D626CB">
                        <w:rPr>
                          <w:b/>
                          <w:sz w:val="72"/>
                          <w:szCs w:val="72"/>
                        </w:rPr>
                        <w:t xml:space="preserve">nvironmental </w:t>
                      </w:r>
                      <w:r>
                        <w:rPr>
                          <w:b/>
                          <w:sz w:val="72"/>
                          <w:szCs w:val="72"/>
                        </w:rPr>
                        <w:t>field s</w:t>
                      </w:r>
                      <w:r w:rsidRPr="00D626CB">
                        <w:rPr>
                          <w:b/>
                          <w:sz w:val="72"/>
                          <w:szCs w:val="72"/>
                        </w:rPr>
                        <w:t>urvey</w:t>
                      </w:r>
                      <w:r>
                        <w:rPr>
                          <w:b/>
                          <w:sz w:val="72"/>
                          <w:szCs w:val="72"/>
                        </w:rPr>
                        <w:t xml:space="preserve"> of</w:t>
                      </w:r>
                      <w:r w:rsidRPr="009378DC">
                        <w:t xml:space="preserve"> </w:t>
                      </w:r>
                      <w:r>
                        <w:rPr>
                          <w:b/>
                          <w:sz w:val="72"/>
                          <w:szCs w:val="72"/>
                        </w:rPr>
                        <w:t>Commonwealth land</w:t>
                      </w:r>
                      <w:r>
                        <w:rPr>
                          <w:b/>
                          <w:sz w:val="72"/>
                          <w:szCs w:val="72"/>
                        </w:rPr>
                        <w:br/>
                      </w:r>
                      <w:r w:rsidRPr="009378DC">
                        <w:rPr>
                          <w:b/>
                          <w:sz w:val="72"/>
                          <w:szCs w:val="72"/>
                        </w:rPr>
                        <w:t>at Badgerys Creek</w:t>
                      </w:r>
                    </w:p>
                    <w:p w14:paraId="2F254AB8" w14:textId="77777777" w:rsidR="004E469D" w:rsidRDefault="004E469D" w:rsidP="00140112">
                      <w:pPr>
                        <w:pStyle w:val="CoverPageDate"/>
                        <w:rPr>
                          <w:color w:val="595959" w:themeColor="text2"/>
                        </w:rPr>
                      </w:pPr>
                    </w:p>
                    <w:p w14:paraId="44B048C3" w14:textId="6A7C09EB" w:rsidR="004E469D" w:rsidRDefault="004E469D" w:rsidP="00140112">
                      <w:pPr>
                        <w:pStyle w:val="CoverPageDate"/>
                        <w:rPr>
                          <w:color w:val="595959" w:themeColor="text2"/>
                        </w:rPr>
                      </w:pPr>
                      <w:r>
                        <w:rPr>
                          <w:color w:val="595959" w:themeColor="text2"/>
                        </w:rPr>
                        <w:t>Report prepared for Western Sydney Unit</w:t>
                      </w:r>
                      <w:r>
                        <w:rPr>
                          <w:color w:val="595959" w:themeColor="text2"/>
                        </w:rPr>
                        <w:br/>
                        <w:t>Department of Infrastructure and Regional Development</w:t>
                      </w:r>
                    </w:p>
                    <w:p w14:paraId="7B8B28AB" w14:textId="77777777" w:rsidR="004E469D" w:rsidRDefault="004E469D" w:rsidP="00140112">
                      <w:pPr>
                        <w:pStyle w:val="CoverPageDate"/>
                        <w:rPr>
                          <w:color w:val="595959" w:themeColor="text2"/>
                        </w:rPr>
                      </w:pPr>
                    </w:p>
                    <w:p w14:paraId="24A42F5E" w14:textId="7F483EA2" w:rsidR="004E469D" w:rsidRPr="00583474" w:rsidRDefault="004E469D" w:rsidP="006F379A">
                      <w:pPr>
                        <w:pStyle w:val="CoverPageDate"/>
                        <w:rPr>
                          <w:color w:val="595959" w:themeColor="text2"/>
                        </w:rPr>
                      </w:pPr>
                      <w:r>
                        <w:rPr>
                          <w:color w:val="595959" w:themeColor="text2"/>
                        </w:rPr>
                        <w:t>October 2014</w:t>
                      </w:r>
                    </w:p>
                  </w:txbxContent>
                </v:textbox>
                <w10:wrap anchorx="margin" anchory="page"/>
                <w10:anchorlock/>
              </v:shape>
            </w:pict>
          </mc:Fallback>
        </mc:AlternateContent>
      </w:r>
      <w:r w:rsidR="00A05903" w:rsidRPr="00A05903">
        <w:rPr>
          <w:noProof/>
          <w:lang w:eastAsia="en-AU"/>
        </w:rPr>
        <w:drawing>
          <wp:anchor distT="0" distB="0" distL="114300" distR="114300" simplePos="0" relativeHeight="251668480" behindDoc="0" locked="1" layoutInCell="1" allowOverlap="1" wp14:anchorId="5764BF20" wp14:editId="17F953B8">
            <wp:simplePos x="0" y="0"/>
            <wp:positionH relativeFrom="page">
              <wp:posOffset>649432</wp:posOffset>
            </wp:positionH>
            <wp:positionV relativeFrom="page">
              <wp:posOffset>533400</wp:posOffset>
            </wp:positionV>
            <wp:extent cx="1740477" cy="658091"/>
            <wp:effectExtent l="0" t="0" r="0" b="8890"/>
            <wp:wrapNone/>
            <wp:docPr id="4" name="Picture 20" descr="SMEC logo" title="SME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AP LOGO.jpg"/>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1737995" cy="659765"/>
                    </a:xfrm>
                    <a:prstGeom prst="rect">
                      <a:avLst/>
                    </a:prstGeom>
                    <a:noFill/>
                    <a:ln w="9525">
                      <a:noFill/>
                      <a:miter lim="800000"/>
                      <a:headEnd/>
                      <a:tailEnd/>
                    </a:ln>
                  </pic:spPr>
                </pic:pic>
              </a:graphicData>
            </a:graphic>
          </wp:anchor>
        </w:drawing>
      </w:r>
      <w:r>
        <w:rPr>
          <w:noProof/>
          <w:lang w:eastAsia="en-AU"/>
        </w:rPr>
        <mc:AlternateContent>
          <mc:Choice Requires="wps">
            <w:drawing>
              <wp:anchor distT="0" distB="0" distL="114300" distR="114300" simplePos="0" relativeHeight="251663360" behindDoc="0" locked="1" layoutInCell="1" allowOverlap="1" wp14:anchorId="124D2A6F" wp14:editId="570543D7">
                <wp:simplePos x="0" y="0"/>
                <wp:positionH relativeFrom="column">
                  <wp:posOffset>-1009650</wp:posOffset>
                </wp:positionH>
                <wp:positionV relativeFrom="page">
                  <wp:posOffset>10135235</wp:posOffset>
                </wp:positionV>
                <wp:extent cx="7934325" cy="575945"/>
                <wp:effectExtent l="0" t="635" r="4445" b="4445"/>
                <wp:wrapNone/>
                <wp:docPr id="7" name="Rectangle 58" descr="SMEC banner" title="SMEC banne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34325" cy="575945"/>
                        </a:xfrm>
                        <a:prstGeom prst="rect">
                          <a:avLst/>
                        </a:prstGeom>
                        <a:solidFill>
                          <a:schemeClr val="tx1">
                            <a:lumMod val="85000"/>
                            <a:lumOff val="1500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8" o:spid="_x0000_s1026" alt="Title: SMEC banner - Description: SMEC banner" style="position:absolute;margin-left:-79.5pt;margin-top:798.05pt;width:624.75pt;height:45.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" fillcolor="#272727 [2749]" stroked="f">
                <w10:wrap anchory="page"/>
                <w10:anchorlock/>
              </v:rect>
            </w:pict>
          </mc:Fallback>
        </mc:AlternateContent>
      </w:r>
    </w:p>
    <w:p w14:paraId="5E9F67E5" w14:textId="77777777" w:rsidR="005055E9" w:rsidRDefault="005055E9" w:rsidP="006E338D">
      <w:pPr>
        <w:pStyle w:val="TOCHeading"/>
        <w:sectPr w:rsidR="005055E9" w:rsidSect="005E2E96">
          <w:headerReference w:type="even" r:id="rId9"/>
          <w:headerReference w:type="default" r:id="rId10"/>
          <w:footerReference w:type="even" r:id="rId11"/>
          <w:footerReference w:type="default" r:id="rId12"/>
          <w:headerReference w:type="first" r:id="rId13"/>
          <w:footerReference w:type="first" r:id="rId14"/>
          <w:type w:val="oddPage"/>
          <w:pgSz w:w="11906" w:h="16838"/>
          <w:pgMar w:top="1418" w:right="1418" w:bottom="1418" w:left="1418" w:header="709" w:footer="709" w:gutter="0"/>
          <w:cols w:space="708"/>
          <w:docGrid w:linePitch="360"/>
        </w:sectPr>
      </w:pPr>
    </w:p>
    <w:p w14:paraId="2461A252" w14:textId="77777777" w:rsidR="00140112" w:rsidRDefault="00140112" w:rsidP="00140112">
      <w:pPr>
        <w:pStyle w:val="Heading1-NoTOC"/>
      </w:pPr>
      <w:r>
        <w:lastRenderedPageBreak/>
        <w:t>Important Notice</w:t>
      </w:r>
    </w:p>
    <w:p w14:paraId="0523BA70" w14:textId="1A508FB8" w:rsidR="00FD65DB" w:rsidRDefault="00FD65DB" w:rsidP="00FD65DB">
      <w:pPr>
        <w:pStyle w:val="BodyText"/>
      </w:pPr>
      <w:r>
        <w:t>This report is confidential and is provided solely for the use of the Western Sydney Unit, Department of Infrastructure and Regional Development (‘the Client’</w:t>
      </w:r>
      <w:proofErr w:type="gramStart"/>
      <w:r>
        <w:t>)in</w:t>
      </w:r>
      <w:proofErr w:type="gramEnd"/>
      <w:r>
        <w:t xml:space="preserve"> relation to management of the Commonwealth land at Badgerys Creek, Western Sydney. This report is provided pursuant to a Consultancy Agreement between SMEC Australia Pty Limited (‘SMEC’) and the Client under which SMEC undertook to perform a specific and limited task for the Client. This report is strictly limited to the matters stated in it and subject to the various assumptions, qualifications and limitations in it and does not apply by implication to other matters. SMEC makes no representation that the scope, assumptions, qualifications and exclusions set out in this report </w:t>
      </w:r>
      <w:proofErr w:type="gramStart"/>
      <w:r>
        <w:t>will be</w:t>
      </w:r>
      <w:proofErr w:type="gramEnd"/>
      <w:r>
        <w:t xml:space="preserve"> suitable or sufficient for other purposes nor that the content of the report covers all matters which you may regard</w:t>
      </w:r>
      <w:r w:rsidR="007D772B">
        <w:t xml:space="preserve"> as material for your purposes.</w:t>
      </w:r>
    </w:p>
    <w:p w14:paraId="02F8054C" w14:textId="46B8530C" w:rsidR="00FD65DB" w:rsidRDefault="00FD65DB" w:rsidP="00FD65DB">
      <w:pPr>
        <w:pStyle w:val="BodyText"/>
      </w:pPr>
      <w:r>
        <w:t>This report must be read as a whole. The executive summary is not a substitute for this. Any subsequent report must be read i</w:t>
      </w:r>
      <w:r w:rsidR="007D772B">
        <w:t>n conjunction with this report.</w:t>
      </w:r>
    </w:p>
    <w:p w14:paraId="330BD5A2" w14:textId="3B02360C" w:rsidR="00FD65DB" w:rsidRDefault="00FD65DB" w:rsidP="00FD65DB">
      <w:pPr>
        <w:pStyle w:val="BodyText"/>
      </w:pPr>
      <w:r>
        <w:t xml:space="preserve">The report supersedes all previous draft or interim reports, whether written or presented orally, before the date of this report. Subject to clause 7.3 (Defects Warranty) and clause 7.5 (Warranties Generally) of the Consultancy Agreement, this report has not and will not be updated for events or transactions occurring after the date of the report or any other matters which might have a material effect on its contents or which come to light after the date of the report. SMEC is not obliged to inform you of any such event, transaction or matter </w:t>
      </w:r>
      <w:proofErr w:type="gramStart"/>
      <w:r>
        <w:t>nor</w:t>
      </w:r>
      <w:proofErr w:type="gramEnd"/>
      <w:r>
        <w:t xml:space="preserve"> to update the report for anything that occurs, or of which SMEC becomes aware, after the date of this report.</w:t>
      </w:r>
    </w:p>
    <w:p w14:paraId="1C1EB409" w14:textId="7FC7E11B" w:rsidR="00140112" w:rsidRDefault="00FD65DB" w:rsidP="00FD65DB">
      <w:pPr>
        <w:pStyle w:val="BodyText"/>
      </w:pPr>
      <w:r>
        <w:t>Except as required under the Consultancy Agreement, SMEC does not accept a duty of care or any other legal responsibility whatsoever in relation to this report, or any related enquiries, advice or other work, nor does SMEC make any representation in connection with this report, to any person other than the Client</w:t>
      </w:r>
      <w:r w:rsidR="00140112">
        <w:t>.</w:t>
      </w:r>
    </w:p>
    <w:p w14:paraId="12BD7A92" w14:textId="77777777" w:rsidR="00823B17" w:rsidRDefault="00823B17" w:rsidP="00140112">
      <w:pPr>
        <w:pStyle w:val="BodyText"/>
      </w:pPr>
    </w:p>
    <w:p w14:paraId="1DC7BD7F" w14:textId="77777777" w:rsidR="00823B17" w:rsidRDefault="00823B17" w:rsidP="009378DC">
      <w:pPr>
        <w:pStyle w:val="Heading1-NoTOC"/>
        <w:sectPr w:rsidR="00823B17" w:rsidSect="00823B17">
          <w:headerReference w:type="even" r:id="rId15"/>
          <w:headerReference w:type="default" r:id="rId16"/>
          <w:footerReference w:type="even" r:id="rId17"/>
          <w:footerReference w:type="default" r:id="rId18"/>
          <w:headerReference w:type="first" r:id="rId19"/>
          <w:pgSz w:w="11900" w:h="16840"/>
          <w:pgMar w:top="1418" w:right="1418" w:bottom="1418" w:left="1418" w:header="709" w:footer="709" w:gutter="0"/>
          <w:pgNumType w:fmt="lowerRoman" w:start="1"/>
          <w:cols w:space="708"/>
          <w:docGrid w:linePitch="360"/>
        </w:sectPr>
      </w:pPr>
    </w:p>
    <w:p w14:paraId="2C35CBC7" w14:textId="66066118" w:rsidR="009378DC" w:rsidRDefault="009378DC" w:rsidP="009378DC">
      <w:pPr>
        <w:pStyle w:val="Heading1-NoTOC"/>
      </w:pPr>
      <w:bookmarkStart w:id="0" w:name="Exec_Summary"/>
      <w:r>
        <w:lastRenderedPageBreak/>
        <w:t>Executive Summary</w:t>
      </w:r>
      <w:bookmarkEnd w:id="0"/>
    </w:p>
    <w:p w14:paraId="328CE9C9" w14:textId="2D942F5E" w:rsidR="009378DC" w:rsidRDefault="004F79B1" w:rsidP="005613AC">
      <w:pPr>
        <w:pStyle w:val="Subheading"/>
      </w:pPr>
      <w:r>
        <w:t>Background to the current investigation</w:t>
      </w:r>
    </w:p>
    <w:p w14:paraId="773E2E8D" w14:textId="12E11CC5" w:rsidR="004F79B1" w:rsidRDefault="004F79B1" w:rsidP="004F79B1">
      <w:pPr>
        <w:pStyle w:val="BodyText"/>
      </w:pPr>
      <w:r>
        <w:t xml:space="preserve">The environmental status of the </w:t>
      </w:r>
      <w:r w:rsidR="00E111CA">
        <w:t xml:space="preserve">Commonwealth land at </w:t>
      </w:r>
      <w:r>
        <w:t xml:space="preserve">Badgerys Creek has been the subject of a number of past investigations. This includes environmental investigations undertaken for the Draft Environmental Impact Statement (EIS) that was completed in 1997 and the Supplement to the Draft EIS completed in 1999, both under the </w:t>
      </w:r>
      <w:r w:rsidRPr="00AA1557">
        <w:rPr>
          <w:i/>
        </w:rPr>
        <w:t>Environment Protection (Impact of Proposals) Ac</w:t>
      </w:r>
      <w:r>
        <w:rPr>
          <w:i/>
        </w:rPr>
        <w:t>t</w:t>
      </w:r>
      <w:r w:rsidRPr="00AA1557">
        <w:rPr>
          <w:i/>
        </w:rPr>
        <w:t xml:space="preserve"> 1974</w:t>
      </w:r>
      <w:r>
        <w:t xml:space="preserve">. The purpose of this survey is to build upon the previous work relating to the environmental issues of the </w:t>
      </w:r>
      <w:r w:rsidR="00E111CA">
        <w:t>land</w:t>
      </w:r>
      <w:r>
        <w:t xml:space="preserve"> and to bring the knowledge up to date. This current work interprets the findings of the survey in the context of current Commonwealth and NSW legislation and guidance materials.</w:t>
      </w:r>
    </w:p>
    <w:p w14:paraId="628012D8" w14:textId="0A2F0714" w:rsidR="004F79B1" w:rsidRDefault="004F79B1" w:rsidP="005613AC">
      <w:pPr>
        <w:pStyle w:val="Subheading"/>
      </w:pPr>
      <w:r>
        <w:t>Objectives</w:t>
      </w:r>
    </w:p>
    <w:p w14:paraId="4DE8996B" w14:textId="5137D9F9" w:rsidR="004F79B1" w:rsidRDefault="004F79B1" w:rsidP="004F79B1">
      <w:pPr>
        <w:pStyle w:val="BodyText"/>
      </w:pPr>
      <w:r>
        <w:t xml:space="preserve">The objectives of the </w:t>
      </w:r>
      <w:r w:rsidR="00E111CA">
        <w:t>survey</w:t>
      </w:r>
      <w:r>
        <w:t xml:space="preserve"> are to:</w:t>
      </w:r>
    </w:p>
    <w:p w14:paraId="6F528AD0" w14:textId="39651EF9" w:rsidR="004F79B1" w:rsidRPr="005720AC" w:rsidRDefault="00A232C2" w:rsidP="004F79B1">
      <w:pPr>
        <w:pStyle w:val="ListBullet"/>
      </w:pPr>
      <w:r>
        <w:t>u</w:t>
      </w:r>
      <w:r w:rsidR="004F79B1">
        <w:t>pdate</w:t>
      </w:r>
      <w:r w:rsidR="004F79B1" w:rsidRPr="005720AC">
        <w:t xml:space="preserve"> existing baseline environmental information for the </w:t>
      </w:r>
      <w:r w:rsidR="004F79B1">
        <w:t>Commonwealth land</w:t>
      </w:r>
      <w:r w:rsidR="004F79B1" w:rsidRPr="005720AC">
        <w:t xml:space="preserve"> at Badgerys Creek and specifically the status and condition of the site’s flora, fauna, cultural her</w:t>
      </w:r>
      <w:r w:rsidR="004F79B1">
        <w:t>itage and hydrological features</w:t>
      </w:r>
    </w:p>
    <w:p w14:paraId="4CA451CF" w14:textId="341CD3F4" w:rsidR="004F79B1" w:rsidRPr="005720AC" w:rsidRDefault="00A232C2" w:rsidP="004F79B1">
      <w:pPr>
        <w:pStyle w:val="ListBullet"/>
      </w:pPr>
      <w:r>
        <w:t>i</w:t>
      </w:r>
      <w:r w:rsidR="004F79B1" w:rsidRPr="005720AC">
        <w:t>dentify the national, state and regional significance of these environmental aspects in the broader environmental context of</w:t>
      </w:r>
      <w:r w:rsidR="004F79B1">
        <w:t xml:space="preserve"> the area surrounding the site</w:t>
      </w:r>
    </w:p>
    <w:p w14:paraId="56E362F7" w14:textId="278BD570" w:rsidR="004F79B1" w:rsidRPr="005720AC" w:rsidRDefault="00A232C2" w:rsidP="004F79B1">
      <w:pPr>
        <w:pStyle w:val="ListBullet"/>
      </w:pPr>
      <w:r>
        <w:t>a</w:t>
      </w:r>
      <w:r w:rsidR="004F79B1" w:rsidRPr="005720AC">
        <w:t>nalyse any changes in status and condition since the last field survey</w:t>
      </w:r>
      <w:r w:rsidR="004F79B1">
        <w:t>s</w:t>
      </w:r>
      <w:r w:rsidR="004F79B1" w:rsidRPr="005720AC">
        <w:t xml:space="preserve"> undertaken in the late 1990s and particularly in the context of the requirements of the </w:t>
      </w:r>
      <w:r w:rsidR="004F79B1" w:rsidRPr="005720AC">
        <w:rPr>
          <w:i/>
        </w:rPr>
        <w:t>Environment Protection and Biodiversity Conservation Act 1999</w:t>
      </w:r>
      <w:r w:rsidR="008145E6">
        <w:rPr>
          <w:i/>
        </w:rPr>
        <w:t xml:space="preserve"> </w:t>
      </w:r>
      <w:r w:rsidR="008145E6" w:rsidRPr="008145E6">
        <w:t>(EPBC Act)</w:t>
      </w:r>
    </w:p>
    <w:p w14:paraId="1B0F3545" w14:textId="0286BBA6" w:rsidR="004F79B1" w:rsidRPr="005720AC" w:rsidRDefault="00A232C2" w:rsidP="005613AC">
      <w:pPr>
        <w:pStyle w:val="ListBullet"/>
      </w:pPr>
      <w:r>
        <w:t>p</w:t>
      </w:r>
      <w:r w:rsidR="004F79B1" w:rsidRPr="005720AC">
        <w:t>rovide baseline data to inform any future environmental assessment</w:t>
      </w:r>
      <w:r w:rsidR="004F79B1">
        <w:t>(s)</w:t>
      </w:r>
      <w:r w:rsidR="005613AC">
        <w:t xml:space="preserve"> </w:t>
      </w:r>
      <w:r>
        <w:t>p</w:t>
      </w:r>
      <w:r w:rsidR="004F79B1" w:rsidRPr="005720AC">
        <w:t>rovide a benchmark against which past and f</w:t>
      </w:r>
      <w:r w:rsidR="004F79B1">
        <w:t>uture surveys can be compared</w:t>
      </w:r>
    </w:p>
    <w:p w14:paraId="317B65EB" w14:textId="00F4C085" w:rsidR="004F79B1" w:rsidRDefault="00A232C2" w:rsidP="004F79B1">
      <w:pPr>
        <w:pStyle w:val="ListBullet"/>
      </w:pPr>
      <w:proofErr w:type="gramStart"/>
      <w:r>
        <w:t>m</w:t>
      </w:r>
      <w:r w:rsidR="004F79B1" w:rsidRPr="005720AC">
        <w:t>ake</w:t>
      </w:r>
      <w:proofErr w:type="gramEnd"/>
      <w:r w:rsidR="004F79B1" w:rsidRPr="005720AC">
        <w:t xml:space="preserve"> rec</w:t>
      </w:r>
      <w:r w:rsidR="004F79B1">
        <w:t>ommendations for possible future site survey program(s).</w:t>
      </w:r>
    </w:p>
    <w:p w14:paraId="0748AD5A" w14:textId="6601B7A5" w:rsidR="004F79B1" w:rsidRDefault="004F79B1" w:rsidP="004F79B1">
      <w:pPr>
        <w:pStyle w:val="BodyText"/>
      </w:pPr>
      <w:r>
        <w:t>The environmental survey will be used to assist the Commonwealth to identify, analyse and consider options available for the existing and future management of the site.</w:t>
      </w:r>
    </w:p>
    <w:p w14:paraId="1D0E6A59" w14:textId="4D12A38F" w:rsidR="004B3C20" w:rsidRDefault="004B3C20" w:rsidP="005613AC">
      <w:pPr>
        <w:pStyle w:val="Subheading"/>
      </w:pPr>
      <w:r>
        <w:t>Biodiversity</w:t>
      </w:r>
    </w:p>
    <w:p w14:paraId="07C17969" w14:textId="77777777" w:rsidR="004F79B1" w:rsidRDefault="004F79B1" w:rsidP="004F79B1">
      <w:pPr>
        <w:pStyle w:val="BodyText"/>
      </w:pPr>
      <w:r>
        <w:t>The key findings of the biodiversity investigation noted the following with regard to flora:</w:t>
      </w:r>
    </w:p>
    <w:p w14:paraId="3B295601" w14:textId="77777777" w:rsidR="00A7290B" w:rsidRDefault="00A7290B" w:rsidP="00A7290B">
      <w:pPr>
        <w:pStyle w:val="ListBullet"/>
      </w:pPr>
      <w:r>
        <w:t>EPBC Act:</w:t>
      </w:r>
    </w:p>
    <w:p w14:paraId="3BD547A5" w14:textId="77777777" w:rsidR="00A7290B" w:rsidRDefault="00A7290B" w:rsidP="00A7290B">
      <w:pPr>
        <w:pStyle w:val="ListBullet2"/>
      </w:pPr>
      <w:r>
        <w:t>Two endangered ecological communities occur within the Commonwealth land at Badgerys Creek (Cumberland Plain Shale Woodlands and Shale–Gravel Transition Forest, Western Sydney Dry Rainforest and Moist Woodland on Shale)</w:t>
      </w:r>
    </w:p>
    <w:p w14:paraId="002A5246" w14:textId="77777777" w:rsidR="00A7290B" w:rsidRDefault="00A7290B" w:rsidP="00A7290B">
      <w:pPr>
        <w:pStyle w:val="ListBullet2"/>
      </w:pPr>
      <w:r>
        <w:t xml:space="preserve">Four individuals of </w:t>
      </w:r>
      <w:proofErr w:type="spellStart"/>
      <w:r w:rsidRPr="00360503">
        <w:rPr>
          <w:i/>
        </w:rPr>
        <w:t>Pultenaea</w:t>
      </w:r>
      <w:proofErr w:type="spellEnd"/>
      <w:r w:rsidRPr="00360503">
        <w:rPr>
          <w:i/>
        </w:rPr>
        <w:t xml:space="preserve"> </w:t>
      </w:r>
      <w:proofErr w:type="spellStart"/>
      <w:r w:rsidRPr="00360503">
        <w:rPr>
          <w:i/>
        </w:rPr>
        <w:t>parviflora</w:t>
      </w:r>
      <w:proofErr w:type="spellEnd"/>
      <w:r>
        <w:t xml:space="preserve"> were recorded on the southern side of </w:t>
      </w:r>
      <w:proofErr w:type="spellStart"/>
      <w:r>
        <w:t>Longleys</w:t>
      </w:r>
      <w:proofErr w:type="spellEnd"/>
      <w:r>
        <w:t xml:space="preserve"> Road between Ferndale and Taylors Road (this is a significant reduction from the 68 individuals previously recorded along both sides of </w:t>
      </w:r>
      <w:proofErr w:type="spellStart"/>
      <w:r>
        <w:t>Longleys</w:t>
      </w:r>
      <w:proofErr w:type="spellEnd"/>
      <w:r>
        <w:t xml:space="preserve"> Road in this location since the 1999 Supplement to the Draft EIS)</w:t>
      </w:r>
    </w:p>
    <w:p w14:paraId="72A2E5EC" w14:textId="488A53C8" w:rsidR="00A7290B" w:rsidRDefault="00A7290B" w:rsidP="00A7290B">
      <w:pPr>
        <w:pStyle w:val="ListBullet2"/>
      </w:pPr>
      <w:r>
        <w:t>No other threatened flora species were recorded on site, however, potential habitat exists for a further five threatened flora species listed under the EPBC Act (</w:t>
      </w:r>
      <w:r w:rsidRPr="00AB7D75">
        <w:rPr>
          <w:i/>
        </w:rPr>
        <w:t xml:space="preserve">Acacia </w:t>
      </w:r>
      <w:proofErr w:type="spellStart"/>
      <w:r w:rsidRPr="00AB7D75">
        <w:rPr>
          <w:i/>
        </w:rPr>
        <w:t>pubescens</w:t>
      </w:r>
      <w:proofErr w:type="spellEnd"/>
      <w:r w:rsidRPr="00AB7D75">
        <w:t xml:space="preserve">, </w:t>
      </w:r>
      <w:proofErr w:type="spellStart"/>
      <w:r w:rsidRPr="00AB7D75">
        <w:rPr>
          <w:i/>
        </w:rPr>
        <w:t>Cynanchum</w:t>
      </w:r>
      <w:proofErr w:type="spellEnd"/>
      <w:r w:rsidRPr="00AB7D75">
        <w:rPr>
          <w:i/>
        </w:rPr>
        <w:t xml:space="preserve"> </w:t>
      </w:r>
      <w:proofErr w:type="spellStart"/>
      <w:r w:rsidRPr="00AB7D75">
        <w:rPr>
          <w:i/>
        </w:rPr>
        <w:t>elegans</w:t>
      </w:r>
      <w:proofErr w:type="spellEnd"/>
      <w:r w:rsidRPr="00AB7D75">
        <w:t xml:space="preserve">, </w:t>
      </w:r>
      <w:r w:rsidRPr="00AB7D75">
        <w:rPr>
          <w:i/>
        </w:rPr>
        <w:t xml:space="preserve">Grevillea </w:t>
      </w:r>
      <w:proofErr w:type="spellStart"/>
      <w:r w:rsidRPr="00AB7D75">
        <w:rPr>
          <w:i/>
        </w:rPr>
        <w:t>parviflora</w:t>
      </w:r>
      <w:proofErr w:type="spellEnd"/>
      <w:r w:rsidRPr="00AB7D75">
        <w:rPr>
          <w:i/>
        </w:rPr>
        <w:t xml:space="preserve"> </w:t>
      </w:r>
      <w:r w:rsidRPr="00454358">
        <w:t>subsp</w:t>
      </w:r>
      <w:r w:rsidRPr="00AB7D75">
        <w:rPr>
          <w:i/>
        </w:rPr>
        <w:t xml:space="preserve">. </w:t>
      </w:r>
      <w:proofErr w:type="spellStart"/>
      <w:r w:rsidRPr="00AB7D75">
        <w:rPr>
          <w:i/>
        </w:rPr>
        <w:t>parviflora</w:t>
      </w:r>
      <w:proofErr w:type="spellEnd"/>
      <w:r w:rsidRPr="00AB7D75">
        <w:t>,</w:t>
      </w:r>
      <w:r w:rsidRPr="00AB7D75">
        <w:rPr>
          <w:i/>
        </w:rPr>
        <w:t xml:space="preserve"> </w:t>
      </w:r>
      <w:proofErr w:type="spellStart"/>
      <w:r w:rsidRPr="00AB7D75">
        <w:rPr>
          <w:i/>
        </w:rPr>
        <w:t>Isotoma</w:t>
      </w:r>
      <w:proofErr w:type="spellEnd"/>
      <w:r w:rsidRPr="00AB7D75">
        <w:rPr>
          <w:i/>
        </w:rPr>
        <w:t xml:space="preserve"> </w:t>
      </w:r>
      <w:proofErr w:type="spellStart"/>
      <w:r w:rsidRPr="00AB7D75">
        <w:rPr>
          <w:i/>
        </w:rPr>
        <w:t>sessiliflora</w:t>
      </w:r>
      <w:proofErr w:type="spellEnd"/>
      <w:r>
        <w:rPr>
          <w:i/>
        </w:rPr>
        <w:t xml:space="preserve">, </w:t>
      </w:r>
      <w:proofErr w:type="spellStart"/>
      <w:r w:rsidRPr="00AB7D75">
        <w:rPr>
          <w:i/>
        </w:rPr>
        <w:t>Pimelea</w:t>
      </w:r>
      <w:proofErr w:type="spellEnd"/>
      <w:r w:rsidRPr="00AB7D75">
        <w:rPr>
          <w:i/>
        </w:rPr>
        <w:t xml:space="preserve"> </w:t>
      </w:r>
      <w:proofErr w:type="spellStart"/>
      <w:r w:rsidRPr="00AB7D75">
        <w:rPr>
          <w:i/>
        </w:rPr>
        <w:t>spicata</w:t>
      </w:r>
      <w:proofErr w:type="spellEnd"/>
      <w:r>
        <w:t>)</w:t>
      </w:r>
    </w:p>
    <w:p w14:paraId="6E5B8C2A" w14:textId="77777777" w:rsidR="00A7290B" w:rsidRDefault="00A7290B" w:rsidP="00A7290B">
      <w:pPr>
        <w:pStyle w:val="ListBullet"/>
      </w:pPr>
      <w:r>
        <w:t>TSC Act:</w:t>
      </w:r>
    </w:p>
    <w:p w14:paraId="491D1208" w14:textId="77777777" w:rsidR="00A7290B" w:rsidRDefault="00A7290B" w:rsidP="00A7290B">
      <w:pPr>
        <w:pStyle w:val="ListBullet2"/>
      </w:pPr>
      <w:r>
        <w:t xml:space="preserve">Four endangered ecological community occur within the Commonwealth land at Badgerys Creek (Cumberland Plain Woodland, Shale Gravel Transition Forest, </w:t>
      </w:r>
      <w:r w:rsidRPr="00AB7D75">
        <w:t>Moist Shale Woodland</w:t>
      </w:r>
      <w:r>
        <w:t>, River-flat Eucalypt Forest on Coastal Floodplains)</w:t>
      </w:r>
    </w:p>
    <w:p w14:paraId="7B499099" w14:textId="77777777" w:rsidR="00A7290B" w:rsidRDefault="00A7290B" w:rsidP="00A7290B">
      <w:pPr>
        <w:pStyle w:val="ListBullet2"/>
      </w:pPr>
      <w:r>
        <w:lastRenderedPageBreak/>
        <w:t xml:space="preserve">One individual of </w:t>
      </w:r>
      <w:proofErr w:type="spellStart"/>
      <w:r w:rsidRPr="00360503">
        <w:rPr>
          <w:i/>
        </w:rPr>
        <w:t>Marsdenia</w:t>
      </w:r>
      <w:proofErr w:type="spellEnd"/>
      <w:r w:rsidRPr="00360503">
        <w:rPr>
          <w:i/>
        </w:rPr>
        <w:t xml:space="preserve"> </w:t>
      </w:r>
      <w:proofErr w:type="spellStart"/>
      <w:r w:rsidRPr="00360503">
        <w:rPr>
          <w:i/>
        </w:rPr>
        <w:t>viridiflora</w:t>
      </w:r>
      <w:proofErr w:type="spellEnd"/>
      <w:r>
        <w:t xml:space="preserve"> (within the extent of the endangered population) was recorded along the eastern side of Badgerys Creek, just north of Gardiner Road</w:t>
      </w:r>
    </w:p>
    <w:p w14:paraId="503D39AA" w14:textId="77777777" w:rsidR="00A7290B" w:rsidRDefault="00A7290B" w:rsidP="00A7290B">
      <w:pPr>
        <w:pStyle w:val="ListBullet2"/>
      </w:pPr>
      <w:r>
        <w:t xml:space="preserve">Twelve new individual </w:t>
      </w:r>
      <w:proofErr w:type="spellStart"/>
      <w:r w:rsidRPr="00360503">
        <w:rPr>
          <w:i/>
        </w:rPr>
        <w:t>Marsdenia</w:t>
      </w:r>
      <w:proofErr w:type="spellEnd"/>
      <w:r w:rsidRPr="00360503">
        <w:rPr>
          <w:i/>
        </w:rPr>
        <w:t xml:space="preserve"> </w:t>
      </w:r>
      <w:proofErr w:type="spellStart"/>
      <w:r w:rsidRPr="00360503">
        <w:rPr>
          <w:i/>
        </w:rPr>
        <w:t>viridiflora</w:t>
      </w:r>
      <w:proofErr w:type="spellEnd"/>
      <w:r>
        <w:t xml:space="preserve"> were recorded on the southern side of </w:t>
      </w:r>
      <w:proofErr w:type="spellStart"/>
      <w:r>
        <w:t>Longleys</w:t>
      </w:r>
      <w:proofErr w:type="spellEnd"/>
      <w:r>
        <w:t xml:space="preserve"> Road between Ferndale and Taylors Road (refer Figure 2-2)</w:t>
      </w:r>
    </w:p>
    <w:p w14:paraId="57DA00CE" w14:textId="1491F2F0" w:rsidR="00A7290B" w:rsidRDefault="00A7290B" w:rsidP="00A7290B">
      <w:pPr>
        <w:pStyle w:val="ListBullet2"/>
      </w:pPr>
      <w:r>
        <w:t xml:space="preserve">Potential habitat exists for an additional two species and one endangered population listed under the TSC Act (respectively </w:t>
      </w:r>
      <w:r w:rsidRPr="00AB7D75">
        <w:rPr>
          <w:i/>
        </w:rPr>
        <w:t xml:space="preserve">Dillwynia </w:t>
      </w:r>
      <w:proofErr w:type="spellStart"/>
      <w:r w:rsidRPr="00AB7D75">
        <w:rPr>
          <w:i/>
        </w:rPr>
        <w:t>tenuifolia</w:t>
      </w:r>
      <w:proofErr w:type="spellEnd"/>
      <w:r w:rsidRPr="00AB7D75">
        <w:t xml:space="preserve">, </w:t>
      </w:r>
      <w:r w:rsidRPr="00AB7D75">
        <w:rPr>
          <w:i/>
        </w:rPr>
        <w:t xml:space="preserve">Grevillea </w:t>
      </w:r>
      <w:proofErr w:type="spellStart"/>
      <w:r w:rsidRPr="00AB7D75">
        <w:rPr>
          <w:i/>
        </w:rPr>
        <w:t>juniperina</w:t>
      </w:r>
      <w:proofErr w:type="spellEnd"/>
      <w:r w:rsidRPr="00AB7D75">
        <w:rPr>
          <w:i/>
        </w:rPr>
        <w:t xml:space="preserve"> </w:t>
      </w:r>
      <w:r w:rsidRPr="00454358">
        <w:t>subsp</w:t>
      </w:r>
      <w:r w:rsidRPr="00AB7D75">
        <w:rPr>
          <w:i/>
        </w:rPr>
        <w:t xml:space="preserve">. </w:t>
      </w:r>
      <w:proofErr w:type="spellStart"/>
      <w:r w:rsidRPr="00AB7D75">
        <w:rPr>
          <w:i/>
        </w:rPr>
        <w:t>juniperina</w:t>
      </w:r>
      <w:proofErr w:type="spellEnd"/>
      <w:r w:rsidRPr="00AB7D75">
        <w:t xml:space="preserve"> and </w:t>
      </w:r>
      <w:r w:rsidRPr="00AB7D75">
        <w:rPr>
          <w:i/>
        </w:rPr>
        <w:t xml:space="preserve">Dillwynia </w:t>
      </w:r>
      <w:proofErr w:type="spellStart"/>
      <w:r w:rsidRPr="00AB7D75">
        <w:rPr>
          <w:i/>
        </w:rPr>
        <w:t>tenuifolia</w:t>
      </w:r>
      <w:proofErr w:type="spellEnd"/>
      <w:r w:rsidRPr="00AB7D75">
        <w:t xml:space="preserve"> (Kemps Creek endangered population</w:t>
      </w:r>
      <w:r w:rsidR="00A232C2">
        <w:t>)).</w:t>
      </w:r>
    </w:p>
    <w:p w14:paraId="615DB4B4" w14:textId="77777777" w:rsidR="00A7290B" w:rsidRDefault="00A7290B" w:rsidP="00A7290B">
      <w:pPr>
        <w:pStyle w:val="ListBullet"/>
      </w:pPr>
      <w:r>
        <w:t>Nine noxious weeds declared in the Liverpool LGA were observed in the study area, six of these are also Weeds of National Significance.</w:t>
      </w:r>
    </w:p>
    <w:p w14:paraId="27C0F1C3" w14:textId="7676D377" w:rsidR="004F79B1" w:rsidRDefault="00A7290B" w:rsidP="004F79B1">
      <w:pPr>
        <w:pStyle w:val="ListBullet"/>
      </w:pPr>
      <w:r>
        <w:t>The NSW Office of Water Risk assessment guidelines for groundwater dependent ecosystems indicate that several vegetation communities that occur within the study area are likely to be ‘high probability groundwater dependent ecosystems’.</w:t>
      </w:r>
    </w:p>
    <w:p w14:paraId="300785E8" w14:textId="77777777" w:rsidR="004F79B1" w:rsidRDefault="004F79B1" w:rsidP="00A936A0">
      <w:pPr>
        <w:pStyle w:val="BodyText"/>
      </w:pPr>
      <w:r>
        <w:t>The key findings of the biodiversity investigation noted the following with regard to fauna:</w:t>
      </w:r>
    </w:p>
    <w:p w14:paraId="2BA8D45F" w14:textId="77777777" w:rsidR="004F79B1" w:rsidRDefault="004F79B1" w:rsidP="004F79B1">
      <w:pPr>
        <w:pStyle w:val="ListBullet"/>
      </w:pPr>
      <w:r>
        <w:t>The Commonwealth land contains low to moderate quality habitat, including riparian vegetation and grassy woodland vegetation.</w:t>
      </w:r>
    </w:p>
    <w:p w14:paraId="06E8181B" w14:textId="77777777" w:rsidR="004F79B1" w:rsidRDefault="004F79B1" w:rsidP="004F79B1">
      <w:pPr>
        <w:pStyle w:val="ListBullet"/>
      </w:pPr>
      <w:r>
        <w:t>Badgerys Creek has been identified as a potential wildlife corridor in a number of local and regional planning documents.</w:t>
      </w:r>
    </w:p>
    <w:p w14:paraId="10F18440" w14:textId="77777777" w:rsidR="004F79B1" w:rsidRDefault="004F79B1" w:rsidP="004F79B1">
      <w:pPr>
        <w:pStyle w:val="ListBullet"/>
      </w:pPr>
      <w:r>
        <w:t>Potential habitat is available for threatened fauna species including the Cumberland Land Snail, woodland birds, microchiropteran bats and the Grey-headed Flying-fox.</w:t>
      </w:r>
    </w:p>
    <w:p w14:paraId="1C6B46D2" w14:textId="77777777" w:rsidR="004F79B1" w:rsidRPr="00A753D7" w:rsidRDefault="004F79B1" w:rsidP="004F79B1">
      <w:pPr>
        <w:pStyle w:val="ListBullet"/>
      </w:pPr>
      <w:r w:rsidRPr="00A753D7">
        <w:t>There is potential suitable habitat for seven migratory species</w:t>
      </w:r>
      <w:r>
        <w:t>:</w:t>
      </w:r>
      <w:r w:rsidRPr="00A753D7">
        <w:t xml:space="preserve"> Cattle Egret, Fork-tailed Swift, Great Egret, Latham’s Snipe, Rainbow Bee-eater, </w:t>
      </w:r>
      <w:proofErr w:type="spellStart"/>
      <w:r w:rsidRPr="00A753D7">
        <w:t>Rufous</w:t>
      </w:r>
      <w:proofErr w:type="spellEnd"/>
      <w:r w:rsidRPr="00A753D7">
        <w:t xml:space="preserve"> Fantail and White-throated </w:t>
      </w:r>
      <w:proofErr w:type="spellStart"/>
      <w:r w:rsidRPr="00A753D7">
        <w:t>Needletail</w:t>
      </w:r>
      <w:proofErr w:type="spellEnd"/>
      <w:r w:rsidRPr="00A753D7">
        <w:t>.</w:t>
      </w:r>
    </w:p>
    <w:p w14:paraId="5A88A946" w14:textId="77777777" w:rsidR="004F79B1" w:rsidRDefault="004F79B1" w:rsidP="004F79B1">
      <w:pPr>
        <w:pStyle w:val="BodyText"/>
      </w:pPr>
      <w:r>
        <w:t>There are a number of information gaps that exist due to:</w:t>
      </w:r>
    </w:p>
    <w:p w14:paraId="47D2CB1B" w14:textId="61435B7E" w:rsidR="004F79B1" w:rsidRDefault="00A232C2" w:rsidP="004F79B1">
      <w:pPr>
        <w:pStyle w:val="ListBullet"/>
      </w:pPr>
      <w:r>
        <w:t>l</w:t>
      </w:r>
      <w:r w:rsidR="004F79B1">
        <w:t>ack of detailed knowledge of the distribution and condition of threatened spe</w:t>
      </w:r>
      <w:r>
        <w:t>cies and ecological communities</w:t>
      </w:r>
    </w:p>
    <w:p w14:paraId="7CC69B21" w14:textId="2CAA2AC5" w:rsidR="004F79B1" w:rsidRDefault="00A232C2" w:rsidP="004F79B1">
      <w:pPr>
        <w:pStyle w:val="ListBullet"/>
      </w:pPr>
      <w:r>
        <w:t>n</w:t>
      </w:r>
      <w:r w:rsidR="004F79B1">
        <w:t>ew and improved standards for flora and fauna survey required to satisfy updated envi</w:t>
      </w:r>
      <w:r>
        <w:t>ronmental assessment techniques</w:t>
      </w:r>
    </w:p>
    <w:p w14:paraId="6A3A3666" w14:textId="7726F058" w:rsidR="004F79B1" w:rsidRDefault="00A232C2" w:rsidP="004F79B1">
      <w:pPr>
        <w:pStyle w:val="ListBullet"/>
      </w:pPr>
      <w:r>
        <w:t>l</w:t>
      </w:r>
      <w:r w:rsidR="004F79B1">
        <w:t>ack of detail concerning a</w:t>
      </w:r>
      <w:r>
        <w:t>quatic species and habitats</w:t>
      </w:r>
    </w:p>
    <w:p w14:paraId="5645D92B" w14:textId="3003F191" w:rsidR="004F79B1" w:rsidRDefault="00A232C2" w:rsidP="004F79B1">
      <w:pPr>
        <w:pStyle w:val="ListBullet"/>
      </w:pPr>
      <w:proofErr w:type="gramStart"/>
      <w:r>
        <w:t>c</w:t>
      </w:r>
      <w:r w:rsidR="004F79B1">
        <w:t>hanges</w:t>
      </w:r>
      <w:proofErr w:type="gramEnd"/>
      <w:r w:rsidR="004F79B1">
        <w:t xml:space="preserve"> in legislative status of biodiversity.</w:t>
      </w:r>
    </w:p>
    <w:p w14:paraId="50A938F6" w14:textId="7E056ACE" w:rsidR="004F79B1" w:rsidRDefault="00163E8A" w:rsidP="004F79B1">
      <w:pPr>
        <w:pStyle w:val="BodyText"/>
      </w:pPr>
      <w:r>
        <w:t>Results from the site s</w:t>
      </w:r>
      <w:r w:rsidR="00E111CA" w:rsidRPr="00E111CA">
        <w:t xml:space="preserve">urveys undertaken in the late 1990s would not be suitable for use as part of </w:t>
      </w:r>
      <w:r w:rsidR="008D0417">
        <w:t xml:space="preserve">any </w:t>
      </w:r>
      <w:r w:rsidR="00E111CA" w:rsidRPr="00E111CA">
        <w:t>future environmental assessment as they are now outdated.</w:t>
      </w:r>
      <w:r w:rsidR="008145E6">
        <w:t xml:space="preserve"> In the intervening period there have been changes </w:t>
      </w:r>
      <w:r w:rsidR="008145E6" w:rsidRPr="00E111CA">
        <w:t>to Commonwealth environmental legislation</w:t>
      </w:r>
      <w:r w:rsidR="008145E6">
        <w:t xml:space="preserve"> (most notably the introduction of the EPBC Act) </w:t>
      </w:r>
      <w:r w:rsidR="008145E6" w:rsidRPr="00E111CA">
        <w:t xml:space="preserve">and supporting regulation (such as threatened flora and fauna survey and assessment guidelines), </w:t>
      </w:r>
      <w:r w:rsidR="008145E6">
        <w:t xml:space="preserve">and </w:t>
      </w:r>
      <w:r w:rsidR="008145E6" w:rsidRPr="00E111CA">
        <w:t>changes to the suite of listed threatened spec</w:t>
      </w:r>
      <w:r w:rsidR="008145E6">
        <w:t xml:space="preserve">ies (both NSW and Commonwealth). There have also been changes in the ecological and physical condition of the land associated with the </w:t>
      </w:r>
      <w:r w:rsidR="00527BC0">
        <w:t>predominantly agricultural land use.</w:t>
      </w:r>
      <w:r w:rsidR="008145E6">
        <w:t xml:space="preserve"> This notwithstanding, p</w:t>
      </w:r>
      <w:r w:rsidR="00E111CA" w:rsidRPr="00E111CA">
        <w:t xml:space="preserve">revious surveys may </w:t>
      </w:r>
      <w:r w:rsidR="008145E6">
        <w:t xml:space="preserve">still </w:t>
      </w:r>
      <w:r w:rsidR="00E111CA" w:rsidRPr="00E111CA">
        <w:t xml:space="preserve">provide useful general background </w:t>
      </w:r>
      <w:r w:rsidR="008145E6">
        <w:t xml:space="preserve">information </w:t>
      </w:r>
      <w:r w:rsidR="00E111CA" w:rsidRPr="00E111CA">
        <w:t xml:space="preserve">of site </w:t>
      </w:r>
      <w:r w:rsidR="008145E6">
        <w:t xml:space="preserve">conditions </w:t>
      </w:r>
      <w:r w:rsidR="00E111CA" w:rsidRPr="00E111CA">
        <w:t xml:space="preserve">and </w:t>
      </w:r>
      <w:r w:rsidR="008145E6">
        <w:t xml:space="preserve">facilitate understanding of the </w:t>
      </w:r>
      <w:r w:rsidR="00E111CA" w:rsidRPr="00E111CA">
        <w:t>nature of change</w:t>
      </w:r>
      <w:r w:rsidR="008145E6">
        <w:t>s</w:t>
      </w:r>
      <w:r w:rsidR="00E111CA" w:rsidRPr="00E111CA">
        <w:t xml:space="preserve"> over time.</w:t>
      </w:r>
    </w:p>
    <w:p w14:paraId="06FB1641" w14:textId="77777777" w:rsidR="004F79B1" w:rsidRDefault="004F79B1" w:rsidP="005613AC">
      <w:pPr>
        <w:pStyle w:val="Subheading"/>
      </w:pPr>
      <w:r>
        <w:t>Historic heritage</w:t>
      </w:r>
    </w:p>
    <w:p w14:paraId="699169C4" w14:textId="202D579A" w:rsidR="004F79B1" w:rsidRDefault="004F79B1" w:rsidP="004F79B1">
      <w:pPr>
        <w:pStyle w:val="BodyText"/>
      </w:pPr>
      <w:r w:rsidRPr="007D5E07">
        <w:t xml:space="preserve">There are </w:t>
      </w:r>
      <w:r>
        <w:t xml:space="preserve">currently </w:t>
      </w:r>
      <w:r w:rsidR="00136D5B">
        <w:t>eight</w:t>
      </w:r>
      <w:r w:rsidRPr="007D5E07">
        <w:t xml:space="preserve"> historic heritage places within the </w:t>
      </w:r>
      <w:r>
        <w:t>Commonwealth land at</w:t>
      </w:r>
      <w:r w:rsidRPr="007D5E07">
        <w:t xml:space="preserve"> Badgerys Creek</w:t>
      </w:r>
      <w:r>
        <w:t xml:space="preserve">, comprising either built heritage or an archaeological site. Specific </w:t>
      </w:r>
      <w:r w:rsidR="004B3C20">
        <w:t>advice</w:t>
      </w:r>
      <w:r>
        <w:t xml:space="preserve"> ha</w:t>
      </w:r>
      <w:r w:rsidR="004B3C20">
        <w:t>s</w:t>
      </w:r>
      <w:r>
        <w:t xml:space="preserve"> been provided with regard to future investigation to better characterise the respective heritage values and/or management of each site.</w:t>
      </w:r>
    </w:p>
    <w:p w14:paraId="0A938037" w14:textId="77777777" w:rsidR="004F79B1" w:rsidRDefault="004F79B1" w:rsidP="004F79B1">
      <w:pPr>
        <w:pStyle w:val="BodyText"/>
      </w:pPr>
      <w:r>
        <w:t xml:space="preserve">The investigation also identified other heritage items within the vicinity of the Commonwealth land. The majority of these are local heritage items listed under the Liverpool and Penrith </w:t>
      </w:r>
      <w:proofErr w:type="gramStart"/>
      <w:r>
        <w:t>LEPs,</w:t>
      </w:r>
      <w:proofErr w:type="gramEnd"/>
      <w:r>
        <w:t xml:space="preserve"> however two additional items were identified as having potential historic heritage values.</w:t>
      </w:r>
    </w:p>
    <w:p w14:paraId="57AA62B2" w14:textId="4D093DE6" w:rsidR="004F79B1" w:rsidRDefault="004F79B1" w:rsidP="004F79B1">
      <w:pPr>
        <w:pStyle w:val="BodyText"/>
      </w:pPr>
      <w:r>
        <w:t xml:space="preserve">The investigation noted a number of information gaps including a full understanding of the heritage values of the </w:t>
      </w:r>
      <w:r w:rsidR="005F75CA">
        <w:t>eight</w:t>
      </w:r>
      <w:r>
        <w:t xml:space="preserve"> historic heritage places with reference to CHL criteria, incomplete understanding of the heritage values of the three identified built heritage places and options for potential retention of buildings, the research potential and heritage values of the </w:t>
      </w:r>
      <w:r w:rsidR="005F75CA">
        <w:t>three</w:t>
      </w:r>
      <w:r>
        <w:t xml:space="preserve"> identified archaeological sites, and options for management of heritage values associated with the two former church sites and associated cemeteries.</w:t>
      </w:r>
    </w:p>
    <w:p w14:paraId="3E9920A7" w14:textId="77777777" w:rsidR="004F79B1" w:rsidRDefault="004F79B1" w:rsidP="005613AC">
      <w:pPr>
        <w:pStyle w:val="Subheading"/>
      </w:pPr>
      <w:r>
        <w:t>Aboriginal heritage</w:t>
      </w:r>
    </w:p>
    <w:p w14:paraId="13868648" w14:textId="4FC99DE6" w:rsidR="004F79B1" w:rsidRDefault="004F79B1" w:rsidP="004F79B1">
      <w:pPr>
        <w:pStyle w:val="BodyText"/>
      </w:pPr>
      <w:r w:rsidRPr="00D40517">
        <w:t xml:space="preserve">Of the 21 Aboriginal heritage sites within areas of moderate and high archaeological potential, only seven sites could be located and verified during the current survey. These were the two possible scarred tree sites and five stone artefact sites. Impacts recorded during the 1996 survey of the area have continued to affect the condition and visibility of the sites, and the majority of sites are now either being actively impacted by water or stock movements, or </w:t>
      </w:r>
      <w:r>
        <w:t>a</w:t>
      </w:r>
      <w:r w:rsidRPr="00D40517">
        <w:t>re overgrown and obscured by vegetation. These impacts appear to have either obscured the previously recorded artefacts, or to have removed them from the immediate location of the original site recording.</w:t>
      </w:r>
    </w:p>
    <w:p w14:paraId="2ADA22F1" w14:textId="77777777" w:rsidR="004F79B1" w:rsidRDefault="004F79B1" w:rsidP="004F79B1">
      <w:pPr>
        <w:pStyle w:val="BodyText"/>
      </w:pPr>
      <w:r>
        <w:t>Limited information regarding descriptions and locations of all Aboriginal sites previously identified within the current study area was available due to the assessment documents being made public. As such, all Aboriginal site information recorded during the field investigations for the Draft EIS was obtained from AHIMS site cards held by OEH. However, this information is in many cases limited.</w:t>
      </w:r>
    </w:p>
    <w:p w14:paraId="0D7B4687" w14:textId="77777777" w:rsidR="004F79B1" w:rsidRDefault="004F79B1" w:rsidP="004F79B1">
      <w:pPr>
        <w:pStyle w:val="BodyText"/>
      </w:pPr>
      <w:r>
        <w:t>Archaeological investigation of the Aboriginal cultural heritage of the Commonwealth land at Badgerys Creek has not, to date, included archaeological excavations. Surface expressions of Aboriginal heritage sites reviewed during this investigation were entirely exposed through disturbance, and it is likely that substantial archaeological deposits may remain present within the study area within landforms that have not experienced significant disturbance.</w:t>
      </w:r>
    </w:p>
    <w:p w14:paraId="4D4D6DC0" w14:textId="77777777" w:rsidR="004F79B1" w:rsidRDefault="004F79B1" w:rsidP="005613AC">
      <w:pPr>
        <w:pStyle w:val="Subheading"/>
      </w:pPr>
      <w:r>
        <w:t>Hydrology and water quality</w:t>
      </w:r>
    </w:p>
    <w:p w14:paraId="0686619A" w14:textId="35151225" w:rsidR="00136D5B" w:rsidRDefault="00136D5B" w:rsidP="004F79B1">
      <w:pPr>
        <w:pStyle w:val="BodyText"/>
      </w:pPr>
      <w:r>
        <w:t>The Environment Australia assessment report prepared in 1999 recommended collection of time-series information on hydrology, hydrogeology and water quality for the Commonwealth land and adjacent areas as necessary. There is still no time-series information available to inform characterisation of the temporal aspects of the hydrological and water quality</w:t>
      </w:r>
      <w:r w:rsidRPr="00E93282">
        <w:t xml:space="preserve"> </w:t>
      </w:r>
      <w:r>
        <w:t>regimes.</w:t>
      </w:r>
    </w:p>
    <w:p w14:paraId="2E784E3F" w14:textId="79B02402" w:rsidR="004F79B1" w:rsidRDefault="00F71717" w:rsidP="004F79B1">
      <w:pPr>
        <w:pStyle w:val="BodyText"/>
      </w:pPr>
      <w:r>
        <w:t>The current investigation included the collection of w</w:t>
      </w:r>
      <w:r w:rsidR="004F79B1">
        <w:t xml:space="preserve">ater samples from six of the 10 sites used in the previous investigations. Four sites were not </w:t>
      </w:r>
      <w:r w:rsidR="008145E6">
        <w:t xml:space="preserve">able to be </w:t>
      </w:r>
      <w:r w:rsidR="004F79B1">
        <w:t>sample</w:t>
      </w:r>
      <w:r w:rsidR="004B3C20">
        <w:t>d</w:t>
      </w:r>
      <w:r w:rsidR="004F79B1">
        <w:t xml:space="preserve"> due to access being through private properties. Samples were analysed by a NATA-accredited laboratory and the results reviewed with reference to the</w:t>
      </w:r>
      <w:r w:rsidR="004F79B1" w:rsidRPr="00B46A5B">
        <w:rPr>
          <w:i/>
        </w:rPr>
        <w:t xml:space="preserve"> </w:t>
      </w:r>
      <w:r w:rsidR="004F79B1" w:rsidRPr="004C53E8">
        <w:rPr>
          <w:i/>
        </w:rPr>
        <w:t>Australian Water Quality Guidelines for Fresh and Marine Waters</w:t>
      </w:r>
      <w:r w:rsidR="004F79B1">
        <w:t xml:space="preserve"> (ANZECC 2000).</w:t>
      </w:r>
    </w:p>
    <w:p w14:paraId="585E8527" w14:textId="082A0666" w:rsidR="004F79B1" w:rsidRDefault="004F79B1" w:rsidP="004F79B1">
      <w:pPr>
        <w:pStyle w:val="BodyText"/>
      </w:pPr>
      <w:r>
        <w:t>The results of the analyses suggest there ha</w:t>
      </w:r>
      <w:r w:rsidR="008547FB">
        <w:t>ve</w:t>
      </w:r>
      <w:r>
        <w:t xml:space="preserve"> not been any material changes in water quality in the intervening period. Water quality is degraded with elevated levels of nutrients (nitrogen, phosphorus). The results for metals were all below guideline values. Exceedances of investigation values for hydrocarbons were observed for </w:t>
      </w:r>
      <w:proofErr w:type="spellStart"/>
      <w:r>
        <w:t>Duncans</w:t>
      </w:r>
      <w:proofErr w:type="spellEnd"/>
      <w:r>
        <w:t xml:space="preserve"> Creek and Badgerys Creek. Both sample locations are in close proximity to roads and water quality may be influenced by stormwater runoff.</w:t>
      </w:r>
    </w:p>
    <w:p w14:paraId="3D2700D6" w14:textId="09500B4D" w:rsidR="004F79B1" w:rsidRDefault="004F79B1" w:rsidP="004F79B1">
      <w:pPr>
        <w:pStyle w:val="BodyText"/>
      </w:pPr>
      <w:r>
        <w:t xml:space="preserve">Based on a review of aerial photography recorded between 2002 and 2014, there appears to have been no material changes in land use in this part of the Badgerys Creek </w:t>
      </w:r>
      <w:r w:rsidR="008547FB">
        <w:t>sub</w:t>
      </w:r>
      <w:r>
        <w:t>catchment. As such, it is unlikely that there would have been any material changes to the downstream hydrological regime</w:t>
      </w:r>
      <w:r w:rsidR="00721F5D">
        <w:t xml:space="preserve"> including flooding behaviour</w:t>
      </w:r>
      <w:r>
        <w:t>. Given the size of this part of the</w:t>
      </w:r>
      <w:r w:rsidR="008547FB">
        <w:t xml:space="preserve"> sub</w:t>
      </w:r>
      <w:r>
        <w:t xml:space="preserve">catchment relative to the whole </w:t>
      </w:r>
      <w:r w:rsidR="008547FB">
        <w:t>sub</w:t>
      </w:r>
      <w:r>
        <w:t>catchment, it is anticipated that this area would also have only a limited influence on downstream water quality.</w:t>
      </w:r>
      <w:r w:rsidR="00721F5D" w:rsidRPr="00721F5D">
        <w:t xml:space="preserve"> </w:t>
      </w:r>
      <w:r w:rsidR="00721F5D">
        <w:t>There is also a large area of the South Creek catchment upstream of the Badgerys Creek confluence that would exert a greater influence on downstream flooding behaviour.</w:t>
      </w:r>
    </w:p>
    <w:p w14:paraId="1C57D927" w14:textId="77777777" w:rsidR="004F79B1" w:rsidRDefault="004F79B1" w:rsidP="005613AC">
      <w:pPr>
        <w:pStyle w:val="Subheading"/>
      </w:pPr>
      <w:r>
        <w:t>Contamination</w:t>
      </w:r>
    </w:p>
    <w:p w14:paraId="7132649D" w14:textId="5BED07DC" w:rsidR="004F79B1" w:rsidRDefault="004F79B1" w:rsidP="004F79B1">
      <w:pPr>
        <w:pStyle w:val="BodyText"/>
      </w:pPr>
      <w:r>
        <w:t xml:space="preserve">There is potential for contamination of land and water associated with agricultural and related land use within the Commonwealth land at Badgerys Creek. While there are no National Pollutant Inventory listings within the boundary of the Commonwealth land, there </w:t>
      </w:r>
      <w:r w:rsidRPr="00942639">
        <w:t xml:space="preserve">are 17 facilities listed within the </w:t>
      </w:r>
      <w:r>
        <w:t xml:space="preserve">wider </w:t>
      </w:r>
      <w:r w:rsidRPr="00942639">
        <w:t>Liverpool LGA</w:t>
      </w:r>
      <w:r>
        <w:t xml:space="preserve">, </w:t>
      </w:r>
      <w:r w:rsidRPr="00942639">
        <w:t>some in proximity to the Commonwealth land.</w:t>
      </w:r>
    </w:p>
    <w:p w14:paraId="354AC4C3" w14:textId="77777777" w:rsidR="004F79B1" w:rsidRDefault="004F79B1" w:rsidP="004F79B1">
      <w:pPr>
        <w:pStyle w:val="BodyText"/>
      </w:pPr>
      <w:r>
        <w:t xml:space="preserve">During the site investigations, the historic heritage specialist was advised that the site of the former </w:t>
      </w:r>
      <w:proofErr w:type="spellStart"/>
      <w:r>
        <w:t>Anchau</w:t>
      </w:r>
      <w:proofErr w:type="spellEnd"/>
      <w:r>
        <w:t xml:space="preserve"> vineyard (1880 The Northern Road) had been used for the illegal dumping of waste material. This may have resulted in contamination of the land and there may also be hazardous materials present. </w:t>
      </w:r>
    </w:p>
    <w:p w14:paraId="106B2BB5" w14:textId="77777777" w:rsidR="004F79B1" w:rsidRDefault="004F79B1" w:rsidP="005613AC">
      <w:pPr>
        <w:pStyle w:val="Subheading"/>
      </w:pPr>
      <w:r>
        <w:t>Landscape and natural heritage</w:t>
      </w:r>
    </w:p>
    <w:p w14:paraId="7A788170" w14:textId="77777777" w:rsidR="004F79B1" w:rsidRDefault="004F79B1" w:rsidP="004F79B1">
      <w:pPr>
        <w:pStyle w:val="BodyText"/>
      </w:pPr>
      <w:r>
        <w:t>The Commonwealth land at Badgerys Creek is in general proximity to the Greater Blue Mountains Area which is included on the World Heritage List. This is not an issue with regard to current management of the land but could be an issue for consideration for any future environmental assessment(s).</w:t>
      </w:r>
    </w:p>
    <w:p w14:paraId="6F7CB4D9" w14:textId="17615B49" w:rsidR="004F79B1" w:rsidRDefault="004F79B1" w:rsidP="005613AC">
      <w:pPr>
        <w:pStyle w:val="Subheading"/>
      </w:pPr>
      <w:r>
        <w:t>Information gaps and recommendations</w:t>
      </w:r>
    </w:p>
    <w:p w14:paraId="6FD95011" w14:textId="25DF97A8" w:rsidR="0052224D" w:rsidRDefault="00F2767F" w:rsidP="00E82B8E">
      <w:pPr>
        <w:pStyle w:val="BodyText"/>
      </w:pPr>
      <w:r>
        <w:t xml:space="preserve">As part of the investigation, </w:t>
      </w:r>
      <w:r w:rsidR="00C60F81">
        <w:t>gaps in existing information were identified</w:t>
      </w:r>
      <w:r w:rsidR="00E82B8E">
        <w:t xml:space="preserve"> with regard </w:t>
      </w:r>
      <w:r w:rsidR="00C60F81">
        <w:t>to current management of the Commonwealth land</w:t>
      </w:r>
      <w:r w:rsidR="0052224D">
        <w:t>,</w:t>
      </w:r>
      <w:r w:rsidR="00C60F81">
        <w:t xml:space="preserve"> and </w:t>
      </w:r>
      <w:r w:rsidR="00E82B8E">
        <w:t xml:space="preserve">in relation </w:t>
      </w:r>
      <w:r w:rsidR="00C60F81">
        <w:t>to inform</w:t>
      </w:r>
      <w:r w:rsidR="00E82B8E">
        <w:t>ing</w:t>
      </w:r>
      <w:r w:rsidR="00C60F81">
        <w:t xml:space="preserve"> any future environmental assessment(s) associated with development of the land. </w:t>
      </w:r>
      <w:r w:rsidR="00A7290B">
        <w:t xml:space="preserve">Recommendations have been made with regard to these two </w:t>
      </w:r>
      <w:r w:rsidR="00E82B8E">
        <w:t>matters</w:t>
      </w:r>
      <w:r w:rsidR="00A7290B">
        <w:t>.</w:t>
      </w:r>
      <w:r w:rsidR="00E82B8E">
        <w:t xml:space="preserve"> Those relating to management of the land and protection </w:t>
      </w:r>
      <w:r w:rsidR="0052224D" w:rsidRPr="00DB649C">
        <w:t>and enhance</w:t>
      </w:r>
      <w:r w:rsidR="00E82B8E">
        <w:t>ment of</w:t>
      </w:r>
      <w:r w:rsidR="0052224D" w:rsidRPr="00DB649C">
        <w:t xml:space="preserve"> existing </w:t>
      </w:r>
      <w:r w:rsidR="0052224D">
        <w:t xml:space="preserve">environmental </w:t>
      </w:r>
      <w:r w:rsidR="0052224D" w:rsidRPr="00DB649C">
        <w:t>value</w:t>
      </w:r>
      <w:r w:rsidR="0052224D">
        <w:t xml:space="preserve">s should be considered in the context of ‘reasonable and feasible’ </w:t>
      </w:r>
      <w:r w:rsidR="00E82B8E">
        <w:t>to the extent that land use permits.</w:t>
      </w:r>
    </w:p>
    <w:p w14:paraId="31F90BF8" w14:textId="0465D476" w:rsidR="00A7290B" w:rsidRDefault="00A7290B" w:rsidP="009378DC">
      <w:pPr>
        <w:pStyle w:val="BodyText"/>
      </w:pPr>
      <w:r>
        <w:t>In developing recommendations</w:t>
      </w:r>
      <w:r w:rsidR="0052224D">
        <w:t xml:space="preserve"> with regard to further investigation</w:t>
      </w:r>
      <w:r>
        <w:t>, c</w:t>
      </w:r>
      <w:r w:rsidR="00C60F81">
        <w:t xml:space="preserve">onsideration </w:t>
      </w:r>
      <w:r>
        <w:t>has been</w:t>
      </w:r>
      <w:r w:rsidR="00C60F81">
        <w:t xml:space="preserve"> given to the anticipated value of </w:t>
      </w:r>
      <w:r w:rsidR="0052224D">
        <w:t xml:space="preserve">the </w:t>
      </w:r>
      <w:r w:rsidR="00C60F81">
        <w:t xml:space="preserve">information </w:t>
      </w:r>
      <w:r w:rsidR="0052224D">
        <w:t xml:space="preserve">that would be generated, </w:t>
      </w:r>
      <w:r w:rsidR="00C60F81">
        <w:t xml:space="preserve">noting relevant factors such as the Commonwealth’s obligations under the </w:t>
      </w:r>
      <w:r w:rsidR="00C60F81" w:rsidRPr="00C60F81">
        <w:rPr>
          <w:i/>
        </w:rPr>
        <w:t>Environment Protection and Biodiversity Conservation Act 1999</w:t>
      </w:r>
      <w:r>
        <w:t>.</w:t>
      </w:r>
    </w:p>
    <w:p w14:paraId="1C0277BF" w14:textId="40E8E28B" w:rsidR="00A7290B" w:rsidRDefault="0052224D" w:rsidP="00A7290B">
      <w:pPr>
        <w:pStyle w:val="BodyText"/>
      </w:pPr>
      <w:r>
        <w:t xml:space="preserve">As a general recommendation, </w:t>
      </w:r>
      <w:r w:rsidR="00A7290B" w:rsidRPr="00825A50">
        <w:t xml:space="preserve">future management of the Commonwealth land should consider the ‘avoid/mitigate/offset’ hierarchy </w:t>
      </w:r>
      <w:r w:rsidR="00A7290B">
        <w:t>for management of impacts</w:t>
      </w:r>
      <w:r w:rsidR="00A7290B" w:rsidRPr="00825A50">
        <w:t>.</w:t>
      </w:r>
      <w:r w:rsidRPr="0052224D">
        <w:t xml:space="preserve"> </w:t>
      </w:r>
      <w:r>
        <w:t>This should be c</w:t>
      </w:r>
      <w:r w:rsidRPr="00825A50">
        <w:t xml:space="preserve">onsistent with </w:t>
      </w:r>
      <w:r>
        <w:t xml:space="preserve">current </w:t>
      </w:r>
      <w:r w:rsidRPr="00825A50">
        <w:t xml:space="preserve">best practice guidance </w:t>
      </w:r>
      <w:r>
        <w:t>and</w:t>
      </w:r>
      <w:r w:rsidR="00CE210B">
        <w:t>,</w:t>
      </w:r>
      <w:r>
        <w:t xml:space="preserve"> where relevant, take account of</w:t>
      </w:r>
      <w:r w:rsidRPr="00825A50">
        <w:t xml:space="preserve"> </w:t>
      </w:r>
      <w:r>
        <w:t xml:space="preserve">the outcomes of </w:t>
      </w:r>
      <w:r w:rsidRPr="00825A50">
        <w:t>a</w:t>
      </w:r>
      <w:r>
        <w:t>ny further field investigations.</w:t>
      </w:r>
    </w:p>
    <w:p w14:paraId="6CDAE407" w14:textId="2EDF3759" w:rsidR="00E50AC7" w:rsidRDefault="00E50AC7" w:rsidP="009378DC">
      <w:pPr>
        <w:pStyle w:val="BodyText"/>
        <w:sectPr w:rsidR="00E50AC7" w:rsidSect="00823B17">
          <w:footerReference w:type="default" r:id="rId20"/>
          <w:type w:val="oddPage"/>
          <w:pgSz w:w="11900" w:h="16840"/>
          <w:pgMar w:top="1418" w:right="1418" w:bottom="1418" w:left="1418" w:header="709" w:footer="709" w:gutter="0"/>
          <w:pgNumType w:fmt="lowerRoman"/>
          <w:cols w:space="708"/>
          <w:docGrid w:linePitch="360"/>
        </w:sectPr>
      </w:pPr>
      <w:bookmarkStart w:id="1" w:name="_GoBack"/>
      <w:bookmarkEnd w:id="1"/>
    </w:p>
    <w:p w14:paraId="60ED72B1" w14:textId="77777777" w:rsidR="003F186D" w:rsidRPr="00BC5516" w:rsidRDefault="003F186D" w:rsidP="00591923">
      <w:pPr>
        <w:pStyle w:val="Heading1-NoTOC"/>
      </w:pPr>
      <w:r w:rsidRPr="00BC5516">
        <w:t>Table of Contents</w:t>
      </w:r>
    </w:p>
    <w:p w14:paraId="3A7AA0AE" w14:textId="6617E00A" w:rsidR="00823B17" w:rsidRDefault="00823B17">
      <w:pPr>
        <w:pStyle w:val="TOC1"/>
        <w:rPr>
          <w:caps w:val="0"/>
        </w:rPr>
      </w:pPr>
      <w:r>
        <w:rPr>
          <w:caps w:val="0"/>
        </w:rPr>
        <w:tab/>
        <w:t>EXECUTIVE SUMMARY</w:t>
      </w:r>
      <w:r>
        <w:rPr>
          <w:caps w:val="0"/>
        </w:rPr>
        <w:tab/>
      </w:r>
      <w:r>
        <w:rPr>
          <w:caps w:val="0"/>
        </w:rPr>
        <w:fldChar w:fldCharType="begin"/>
      </w:r>
      <w:r>
        <w:rPr>
          <w:caps w:val="0"/>
        </w:rPr>
        <w:instrText xml:space="preserve"> PAGEREF Exec_Summary \h </w:instrText>
      </w:r>
      <w:r>
        <w:rPr>
          <w:caps w:val="0"/>
        </w:rPr>
      </w:r>
      <w:r>
        <w:rPr>
          <w:caps w:val="0"/>
        </w:rPr>
        <w:fldChar w:fldCharType="separate"/>
      </w:r>
      <w:r w:rsidR="004E469D">
        <w:rPr>
          <w:caps w:val="0"/>
          <w:noProof/>
        </w:rPr>
        <w:t>iii</w:t>
      </w:r>
      <w:r>
        <w:rPr>
          <w:caps w:val="0"/>
        </w:rPr>
        <w:fldChar w:fldCharType="end"/>
      </w:r>
    </w:p>
    <w:p w14:paraId="313DE3D0" w14:textId="77777777" w:rsidR="004F79B1" w:rsidRDefault="005C6375" w:rsidP="004C43D6">
      <w:pPr>
        <w:pStyle w:val="TOC1"/>
        <w:rPr>
          <w:rFonts w:asciiTheme="minorHAnsi" w:eastAsiaTheme="minorEastAsia" w:hAnsiTheme="minorHAnsi" w:cstheme="minorBidi"/>
          <w:b w:val="0"/>
          <w:caps w:val="0"/>
          <w:noProof/>
          <w:szCs w:val="22"/>
          <w:lang w:eastAsia="en-AU"/>
        </w:rPr>
      </w:pPr>
      <w:r>
        <w:rPr>
          <w:caps w:val="0"/>
        </w:rPr>
        <w:fldChar w:fldCharType="begin"/>
      </w:r>
      <w:r w:rsidR="00261470">
        <w:rPr>
          <w:caps w:val="0"/>
        </w:rPr>
        <w:instrText xml:space="preserve"> TOC \o "1-2</w:instrText>
      </w:r>
      <w:r w:rsidR="005D1445">
        <w:rPr>
          <w:caps w:val="0"/>
        </w:rPr>
        <w:instrText xml:space="preserve">" \h \z \t "Heading 1 - Tech Specs,1,Heading 2 - Tech Specs,2" </w:instrText>
      </w:r>
      <w:r>
        <w:rPr>
          <w:caps w:val="0"/>
        </w:rPr>
        <w:fldChar w:fldCharType="separate"/>
      </w:r>
      <w:hyperlink w:anchor="_Toc400720064" w:history="1">
        <w:r w:rsidR="004F79B1" w:rsidRPr="006D7606">
          <w:rPr>
            <w:rStyle w:val="Hyperlink"/>
            <w:noProof/>
          </w:rPr>
          <w:t>1.</w:t>
        </w:r>
        <w:r w:rsidR="004F79B1">
          <w:rPr>
            <w:rFonts w:asciiTheme="minorHAnsi" w:eastAsiaTheme="minorEastAsia" w:hAnsiTheme="minorHAnsi" w:cstheme="minorBidi"/>
            <w:b w:val="0"/>
            <w:caps w:val="0"/>
            <w:noProof/>
            <w:szCs w:val="22"/>
            <w:lang w:eastAsia="en-AU"/>
          </w:rPr>
          <w:tab/>
        </w:r>
        <w:r w:rsidR="004F79B1" w:rsidRPr="006D7606">
          <w:rPr>
            <w:rStyle w:val="Hyperlink"/>
            <w:noProof/>
          </w:rPr>
          <w:t>Introduction</w:t>
        </w:r>
        <w:r w:rsidR="004F79B1">
          <w:rPr>
            <w:noProof/>
            <w:webHidden/>
          </w:rPr>
          <w:tab/>
        </w:r>
        <w:r w:rsidR="004F79B1">
          <w:rPr>
            <w:noProof/>
            <w:webHidden/>
          </w:rPr>
          <w:fldChar w:fldCharType="begin"/>
        </w:r>
        <w:r w:rsidR="004F79B1">
          <w:rPr>
            <w:noProof/>
            <w:webHidden/>
          </w:rPr>
          <w:instrText xml:space="preserve"> PAGEREF _Toc400720064 \h </w:instrText>
        </w:r>
        <w:r w:rsidR="004F79B1">
          <w:rPr>
            <w:noProof/>
            <w:webHidden/>
          </w:rPr>
        </w:r>
        <w:r w:rsidR="004F79B1">
          <w:rPr>
            <w:noProof/>
            <w:webHidden/>
          </w:rPr>
          <w:fldChar w:fldCharType="separate"/>
        </w:r>
        <w:r w:rsidR="004E469D">
          <w:rPr>
            <w:noProof/>
            <w:webHidden/>
          </w:rPr>
          <w:t>1</w:t>
        </w:r>
        <w:r w:rsidR="004F79B1">
          <w:rPr>
            <w:noProof/>
            <w:webHidden/>
          </w:rPr>
          <w:fldChar w:fldCharType="end"/>
        </w:r>
      </w:hyperlink>
    </w:p>
    <w:p w14:paraId="2E597955" w14:textId="77777777" w:rsidR="004F79B1" w:rsidRDefault="008A7C19" w:rsidP="004C43D6">
      <w:pPr>
        <w:pStyle w:val="TOC2"/>
        <w:rPr>
          <w:rFonts w:asciiTheme="minorHAnsi" w:eastAsiaTheme="minorEastAsia" w:hAnsiTheme="minorHAnsi" w:cstheme="minorBidi"/>
          <w:noProof/>
          <w:szCs w:val="22"/>
          <w:lang w:eastAsia="en-AU"/>
        </w:rPr>
      </w:pPr>
      <w:hyperlink w:anchor="_Toc400720065" w:history="1">
        <w:r w:rsidR="004F79B1" w:rsidRPr="006D7606">
          <w:rPr>
            <w:rStyle w:val="Hyperlink"/>
            <w:noProof/>
          </w:rPr>
          <w:t>1.1.</w:t>
        </w:r>
        <w:r w:rsidR="004F79B1">
          <w:rPr>
            <w:rFonts w:asciiTheme="minorHAnsi" w:eastAsiaTheme="minorEastAsia" w:hAnsiTheme="minorHAnsi" w:cstheme="minorBidi"/>
            <w:noProof/>
            <w:szCs w:val="22"/>
            <w:lang w:eastAsia="en-AU"/>
          </w:rPr>
          <w:tab/>
        </w:r>
        <w:r w:rsidR="004F79B1" w:rsidRPr="006D7606">
          <w:rPr>
            <w:rStyle w:val="Hyperlink"/>
            <w:noProof/>
          </w:rPr>
          <w:t>Background to the investigation</w:t>
        </w:r>
        <w:r w:rsidR="004F79B1">
          <w:rPr>
            <w:noProof/>
            <w:webHidden/>
          </w:rPr>
          <w:tab/>
        </w:r>
        <w:r w:rsidR="004F79B1">
          <w:rPr>
            <w:noProof/>
            <w:webHidden/>
          </w:rPr>
          <w:fldChar w:fldCharType="begin"/>
        </w:r>
        <w:r w:rsidR="004F79B1">
          <w:rPr>
            <w:noProof/>
            <w:webHidden/>
          </w:rPr>
          <w:instrText xml:space="preserve"> PAGEREF _Toc400720065 \h </w:instrText>
        </w:r>
        <w:r w:rsidR="004F79B1">
          <w:rPr>
            <w:noProof/>
            <w:webHidden/>
          </w:rPr>
        </w:r>
        <w:r w:rsidR="004F79B1">
          <w:rPr>
            <w:noProof/>
            <w:webHidden/>
          </w:rPr>
          <w:fldChar w:fldCharType="separate"/>
        </w:r>
        <w:r w:rsidR="004E469D">
          <w:rPr>
            <w:noProof/>
            <w:webHidden/>
          </w:rPr>
          <w:t>1</w:t>
        </w:r>
        <w:r w:rsidR="004F79B1">
          <w:rPr>
            <w:noProof/>
            <w:webHidden/>
          </w:rPr>
          <w:fldChar w:fldCharType="end"/>
        </w:r>
      </w:hyperlink>
    </w:p>
    <w:p w14:paraId="39907265" w14:textId="77777777" w:rsidR="004F79B1" w:rsidRDefault="008A7C19" w:rsidP="004C43D6">
      <w:pPr>
        <w:pStyle w:val="TOC2"/>
        <w:rPr>
          <w:rFonts w:asciiTheme="minorHAnsi" w:eastAsiaTheme="minorEastAsia" w:hAnsiTheme="minorHAnsi" w:cstheme="minorBidi"/>
          <w:noProof/>
          <w:szCs w:val="22"/>
          <w:lang w:eastAsia="en-AU"/>
        </w:rPr>
      </w:pPr>
      <w:hyperlink w:anchor="_Toc400720066" w:history="1">
        <w:r w:rsidR="004F79B1" w:rsidRPr="006D7606">
          <w:rPr>
            <w:rStyle w:val="Hyperlink"/>
            <w:noProof/>
          </w:rPr>
          <w:t>1.2.</w:t>
        </w:r>
        <w:r w:rsidR="004F79B1">
          <w:rPr>
            <w:rFonts w:asciiTheme="minorHAnsi" w:eastAsiaTheme="minorEastAsia" w:hAnsiTheme="minorHAnsi" w:cstheme="minorBidi"/>
            <w:noProof/>
            <w:szCs w:val="22"/>
            <w:lang w:eastAsia="en-AU"/>
          </w:rPr>
          <w:tab/>
        </w:r>
        <w:r w:rsidR="004F79B1" w:rsidRPr="006D7606">
          <w:rPr>
            <w:rStyle w:val="Hyperlink"/>
            <w:noProof/>
          </w:rPr>
          <w:t>Objectives of the investigation</w:t>
        </w:r>
        <w:r w:rsidR="004F79B1">
          <w:rPr>
            <w:noProof/>
            <w:webHidden/>
          </w:rPr>
          <w:tab/>
        </w:r>
        <w:r w:rsidR="004F79B1">
          <w:rPr>
            <w:noProof/>
            <w:webHidden/>
          </w:rPr>
          <w:fldChar w:fldCharType="begin"/>
        </w:r>
        <w:r w:rsidR="004F79B1">
          <w:rPr>
            <w:noProof/>
            <w:webHidden/>
          </w:rPr>
          <w:instrText xml:space="preserve"> PAGEREF _Toc400720066 \h </w:instrText>
        </w:r>
        <w:r w:rsidR="004F79B1">
          <w:rPr>
            <w:noProof/>
            <w:webHidden/>
          </w:rPr>
        </w:r>
        <w:r w:rsidR="004F79B1">
          <w:rPr>
            <w:noProof/>
            <w:webHidden/>
          </w:rPr>
          <w:fldChar w:fldCharType="separate"/>
        </w:r>
        <w:r w:rsidR="004E469D">
          <w:rPr>
            <w:noProof/>
            <w:webHidden/>
          </w:rPr>
          <w:t>1</w:t>
        </w:r>
        <w:r w:rsidR="004F79B1">
          <w:rPr>
            <w:noProof/>
            <w:webHidden/>
          </w:rPr>
          <w:fldChar w:fldCharType="end"/>
        </w:r>
      </w:hyperlink>
    </w:p>
    <w:p w14:paraId="75814F3A" w14:textId="77777777" w:rsidR="004F79B1" w:rsidRDefault="008A7C19" w:rsidP="004C43D6">
      <w:pPr>
        <w:pStyle w:val="TOC2"/>
        <w:rPr>
          <w:rFonts w:asciiTheme="minorHAnsi" w:eastAsiaTheme="minorEastAsia" w:hAnsiTheme="minorHAnsi" w:cstheme="minorBidi"/>
          <w:noProof/>
          <w:szCs w:val="22"/>
          <w:lang w:eastAsia="en-AU"/>
        </w:rPr>
      </w:pPr>
      <w:hyperlink w:anchor="_Toc400720067" w:history="1">
        <w:r w:rsidR="004F79B1" w:rsidRPr="006D7606">
          <w:rPr>
            <w:rStyle w:val="Hyperlink"/>
            <w:noProof/>
          </w:rPr>
          <w:t>1.3.</w:t>
        </w:r>
        <w:r w:rsidR="004F79B1">
          <w:rPr>
            <w:rFonts w:asciiTheme="minorHAnsi" w:eastAsiaTheme="minorEastAsia" w:hAnsiTheme="minorHAnsi" w:cstheme="minorBidi"/>
            <w:noProof/>
            <w:szCs w:val="22"/>
            <w:lang w:eastAsia="en-AU"/>
          </w:rPr>
          <w:tab/>
        </w:r>
        <w:r w:rsidR="004F79B1" w:rsidRPr="006D7606">
          <w:rPr>
            <w:rStyle w:val="Hyperlink"/>
            <w:noProof/>
          </w:rPr>
          <w:t>Legislative context</w:t>
        </w:r>
        <w:r w:rsidR="004F79B1">
          <w:rPr>
            <w:noProof/>
            <w:webHidden/>
          </w:rPr>
          <w:tab/>
        </w:r>
        <w:r w:rsidR="004F79B1">
          <w:rPr>
            <w:noProof/>
            <w:webHidden/>
          </w:rPr>
          <w:fldChar w:fldCharType="begin"/>
        </w:r>
        <w:r w:rsidR="004F79B1">
          <w:rPr>
            <w:noProof/>
            <w:webHidden/>
          </w:rPr>
          <w:instrText xml:space="preserve"> PAGEREF _Toc400720067 \h </w:instrText>
        </w:r>
        <w:r w:rsidR="004F79B1">
          <w:rPr>
            <w:noProof/>
            <w:webHidden/>
          </w:rPr>
        </w:r>
        <w:r w:rsidR="004F79B1">
          <w:rPr>
            <w:noProof/>
            <w:webHidden/>
          </w:rPr>
          <w:fldChar w:fldCharType="separate"/>
        </w:r>
        <w:r w:rsidR="004E469D">
          <w:rPr>
            <w:noProof/>
            <w:webHidden/>
          </w:rPr>
          <w:t>3</w:t>
        </w:r>
        <w:r w:rsidR="004F79B1">
          <w:rPr>
            <w:noProof/>
            <w:webHidden/>
          </w:rPr>
          <w:fldChar w:fldCharType="end"/>
        </w:r>
      </w:hyperlink>
    </w:p>
    <w:p w14:paraId="7CC9494C" w14:textId="77777777" w:rsidR="004F79B1" w:rsidRDefault="008A7C19" w:rsidP="004C43D6">
      <w:pPr>
        <w:pStyle w:val="TOC2"/>
        <w:rPr>
          <w:rFonts w:asciiTheme="minorHAnsi" w:eastAsiaTheme="minorEastAsia" w:hAnsiTheme="minorHAnsi" w:cstheme="minorBidi"/>
          <w:noProof/>
          <w:szCs w:val="22"/>
          <w:lang w:eastAsia="en-AU"/>
        </w:rPr>
      </w:pPr>
      <w:hyperlink w:anchor="_Toc400720068" w:history="1">
        <w:r w:rsidR="004F79B1" w:rsidRPr="006D7606">
          <w:rPr>
            <w:rStyle w:val="Hyperlink"/>
            <w:noProof/>
          </w:rPr>
          <w:t>1.4.</w:t>
        </w:r>
        <w:r w:rsidR="004F79B1">
          <w:rPr>
            <w:rFonts w:asciiTheme="minorHAnsi" w:eastAsiaTheme="minorEastAsia" w:hAnsiTheme="minorHAnsi" w:cstheme="minorBidi"/>
            <w:noProof/>
            <w:szCs w:val="22"/>
            <w:lang w:eastAsia="en-AU"/>
          </w:rPr>
          <w:tab/>
        </w:r>
        <w:r w:rsidR="004F79B1" w:rsidRPr="006D7606">
          <w:rPr>
            <w:rStyle w:val="Hyperlink"/>
            <w:noProof/>
          </w:rPr>
          <w:t>Previous investigations</w:t>
        </w:r>
        <w:r w:rsidR="004F79B1">
          <w:rPr>
            <w:noProof/>
            <w:webHidden/>
          </w:rPr>
          <w:tab/>
        </w:r>
        <w:r w:rsidR="004F79B1">
          <w:rPr>
            <w:noProof/>
            <w:webHidden/>
          </w:rPr>
          <w:fldChar w:fldCharType="begin"/>
        </w:r>
        <w:r w:rsidR="004F79B1">
          <w:rPr>
            <w:noProof/>
            <w:webHidden/>
          </w:rPr>
          <w:instrText xml:space="preserve"> PAGEREF _Toc400720068 \h </w:instrText>
        </w:r>
        <w:r w:rsidR="004F79B1">
          <w:rPr>
            <w:noProof/>
            <w:webHidden/>
          </w:rPr>
        </w:r>
        <w:r w:rsidR="004F79B1">
          <w:rPr>
            <w:noProof/>
            <w:webHidden/>
          </w:rPr>
          <w:fldChar w:fldCharType="separate"/>
        </w:r>
        <w:r w:rsidR="004E469D">
          <w:rPr>
            <w:noProof/>
            <w:webHidden/>
          </w:rPr>
          <w:t>6</w:t>
        </w:r>
        <w:r w:rsidR="004F79B1">
          <w:rPr>
            <w:noProof/>
            <w:webHidden/>
          </w:rPr>
          <w:fldChar w:fldCharType="end"/>
        </w:r>
      </w:hyperlink>
    </w:p>
    <w:p w14:paraId="510DD1BC" w14:textId="77777777" w:rsidR="004F79B1" w:rsidRDefault="008A7C19" w:rsidP="004C43D6">
      <w:pPr>
        <w:pStyle w:val="TOC2"/>
        <w:rPr>
          <w:rFonts w:asciiTheme="minorHAnsi" w:eastAsiaTheme="minorEastAsia" w:hAnsiTheme="minorHAnsi" w:cstheme="minorBidi"/>
          <w:noProof/>
          <w:szCs w:val="22"/>
          <w:lang w:eastAsia="en-AU"/>
        </w:rPr>
      </w:pPr>
      <w:hyperlink w:anchor="_Toc400720069" w:history="1">
        <w:r w:rsidR="004F79B1" w:rsidRPr="006D7606">
          <w:rPr>
            <w:rStyle w:val="Hyperlink"/>
            <w:noProof/>
          </w:rPr>
          <w:t>1.5.</w:t>
        </w:r>
        <w:r w:rsidR="004F79B1">
          <w:rPr>
            <w:rFonts w:asciiTheme="minorHAnsi" w:eastAsiaTheme="minorEastAsia" w:hAnsiTheme="minorHAnsi" w:cstheme="minorBidi"/>
            <w:noProof/>
            <w:szCs w:val="22"/>
            <w:lang w:eastAsia="en-AU"/>
          </w:rPr>
          <w:tab/>
        </w:r>
        <w:r w:rsidR="004F79B1" w:rsidRPr="006D7606">
          <w:rPr>
            <w:rStyle w:val="Hyperlink"/>
            <w:noProof/>
          </w:rPr>
          <w:t>Study area</w:t>
        </w:r>
        <w:r w:rsidR="004F79B1">
          <w:rPr>
            <w:noProof/>
            <w:webHidden/>
          </w:rPr>
          <w:tab/>
        </w:r>
        <w:r w:rsidR="004F79B1">
          <w:rPr>
            <w:noProof/>
            <w:webHidden/>
          </w:rPr>
          <w:fldChar w:fldCharType="begin"/>
        </w:r>
        <w:r w:rsidR="004F79B1">
          <w:rPr>
            <w:noProof/>
            <w:webHidden/>
          </w:rPr>
          <w:instrText xml:space="preserve"> PAGEREF _Toc400720069 \h </w:instrText>
        </w:r>
        <w:r w:rsidR="004F79B1">
          <w:rPr>
            <w:noProof/>
            <w:webHidden/>
          </w:rPr>
        </w:r>
        <w:r w:rsidR="004F79B1">
          <w:rPr>
            <w:noProof/>
            <w:webHidden/>
          </w:rPr>
          <w:fldChar w:fldCharType="separate"/>
        </w:r>
        <w:r w:rsidR="004E469D">
          <w:rPr>
            <w:noProof/>
            <w:webHidden/>
          </w:rPr>
          <w:t>6</w:t>
        </w:r>
        <w:r w:rsidR="004F79B1">
          <w:rPr>
            <w:noProof/>
            <w:webHidden/>
          </w:rPr>
          <w:fldChar w:fldCharType="end"/>
        </w:r>
      </w:hyperlink>
    </w:p>
    <w:p w14:paraId="1A33ED25" w14:textId="77777777" w:rsidR="004F79B1" w:rsidRDefault="008A7C19" w:rsidP="004C43D6">
      <w:pPr>
        <w:pStyle w:val="TOC2"/>
        <w:rPr>
          <w:rFonts w:asciiTheme="minorHAnsi" w:eastAsiaTheme="minorEastAsia" w:hAnsiTheme="minorHAnsi" w:cstheme="minorBidi"/>
          <w:noProof/>
          <w:szCs w:val="22"/>
          <w:lang w:eastAsia="en-AU"/>
        </w:rPr>
      </w:pPr>
      <w:hyperlink w:anchor="_Toc400720070" w:history="1">
        <w:r w:rsidR="004F79B1" w:rsidRPr="006D7606">
          <w:rPr>
            <w:rStyle w:val="Hyperlink"/>
            <w:noProof/>
          </w:rPr>
          <w:t>1.6.</w:t>
        </w:r>
        <w:r w:rsidR="004F79B1">
          <w:rPr>
            <w:rFonts w:asciiTheme="minorHAnsi" w:eastAsiaTheme="minorEastAsia" w:hAnsiTheme="minorHAnsi" w:cstheme="minorBidi"/>
            <w:noProof/>
            <w:szCs w:val="22"/>
            <w:lang w:eastAsia="en-AU"/>
          </w:rPr>
          <w:tab/>
        </w:r>
        <w:r w:rsidR="004F79B1" w:rsidRPr="006D7606">
          <w:rPr>
            <w:rStyle w:val="Hyperlink"/>
            <w:noProof/>
          </w:rPr>
          <w:t>Structure of the report</w:t>
        </w:r>
        <w:r w:rsidR="004F79B1">
          <w:rPr>
            <w:noProof/>
            <w:webHidden/>
          </w:rPr>
          <w:tab/>
        </w:r>
        <w:r w:rsidR="004F79B1">
          <w:rPr>
            <w:noProof/>
            <w:webHidden/>
          </w:rPr>
          <w:fldChar w:fldCharType="begin"/>
        </w:r>
        <w:r w:rsidR="004F79B1">
          <w:rPr>
            <w:noProof/>
            <w:webHidden/>
          </w:rPr>
          <w:instrText xml:space="preserve"> PAGEREF _Toc400720070 \h </w:instrText>
        </w:r>
        <w:r w:rsidR="004F79B1">
          <w:rPr>
            <w:noProof/>
            <w:webHidden/>
          </w:rPr>
        </w:r>
        <w:r w:rsidR="004F79B1">
          <w:rPr>
            <w:noProof/>
            <w:webHidden/>
          </w:rPr>
          <w:fldChar w:fldCharType="separate"/>
        </w:r>
        <w:r w:rsidR="004E469D">
          <w:rPr>
            <w:noProof/>
            <w:webHidden/>
          </w:rPr>
          <w:t>9</w:t>
        </w:r>
        <w:r w:rsidR="004F79B1">
          <w:rPr>
            <w:noProof/>
            <w:webHidden/>
          </w:rPr>
          <w:fldChar w:fldCharType="end"/>
        </w:r>
      </w:hyperlink>
    </w:p>
    <w:p w14:paraId="551D61BB" w14:textId="77777777" w:rsidR="004F79B1" w:rsidRDefault="008A7C19" w:rsidP="004C43D6">
      <w:pPr>
        <w:pStyle w:val="TOC1"/>
        <w:rPr>
          <w:rFonts w:asciiTheme="minorHAnsi" w:eastAsiaTheme="minorEastAsia" w:hAnsiTheme="minorHAnsi" w:cstheme="minorBidi"/>
          <w:b w:val="0"/>
          <w:caps w:val="0"/>
          <w:noProof/>
          <w:szCs w:val="22"/>
          <w:lang w:eastAsia="en-AU"/>
        </w:rPr>
      </w:pPr>
      <w:hyperlink w:anchor="_Toc400720071" w:history="1">
        <w:r w:rsidR="004F79B1" w:rsidRPr="006D7606">
          <w:rPr>
            <w:rStyle w:val="Hyperlink"/>
            <w:noProof/>
          </w:rPr>
          <w:t>2.</w:t>
        </w:r>
        <w:r w:rsidR="004F79B1">
          <w:rPr>
            <w:rFonts w:asciiTheme="minorHAnsi" w:eastAsiaTheme="minorEastAsia" w:hAnsiTheme="minorHAnsi" w:cstheme="minorBidi"/>
            <w:b w:val="0"/>
            <w:caps w:val="0"/>
            <w:noProof/>
            <w:szCs w:val="22"/>
            <w:lang w:eastAsia="en-AU"/>
          </w:rPr>
          <w:tab/>
        </w:r>
        <w:r w:rsidR="004F79B1" w:rsidRPr="006D7606">
          <w:rPr>
            <w:rStyle w:val="Hyperlink"/>
            <w:noProof/>
          </w:rPr>
          <w:t>Biodiversity</w:t>
        </w:r>
        <w:r w:rsidR="004F79B1">
          <w:rPr>
            <w:noProof/>
            <w:webHidden/>
          </w:rPr>
          <w:tab/>
        </w:r>
        <w:r w:rsidR="004F79B1">
          <w:rPr>
            <w:noProof/>
            <w:webHidden/>
          </w:rPr>
          <w:fldChar w:fldCharType="begin"/>
        </w:r>
        <w:r w:rsidR="004F79B1">
          <w:rPr>
            <w:noProof/>
            <w:webHidden/>
          </w:rPr>
          <w:instrText xml:space="preserve"> PAGEREF _Toc400720071 \h </w:instrText>
        </w:r>
        <w:r w:rsidR="004F79B1">
          <w:rPr>
            <w:noProof/>
            <w:webHidden/>
          </w:rPr>
        </w:r>
        <w:r w:rsidR="004F79B1">
          <w:rPr>
            <w:noProof/>
            <w:webHidden/>
          </w:rPr>
          <w:fldChar w:fldCharType="separate"/>
        </w:r>
        <w:r w:rsidR="004E469D">
          <w:rPr>
            <w:noProof/>
            <w:webHidden/>
          </w:rPr>
          <w:t>11</w:t>
        </w:r>
        <w:r w:rsidR="004F79B1">
          <w:rPr>
            <w:noProof/>
            <w:webHidden/>
          </w:rPr>
          <w:fldChar w:fldCharType="end"/>
        </w:r>
      </w:hyperlink>
    </w:p>
    <w:p w14:paraId="633B3319" w14:textId="77777777" w:rsidR="004F79B1" w:rsidRDefault="008A7C19" w:rsidP="004C43D6">
      <w:pPr>
        <w:pStyle w:val="TOC2"/>
        <w:rPr>
          <w:rFonts w:asciiTheme="minorHAnsi" w:eastAsiaTheme="minorEastAsia" w:hAnsiTheme="minorHAnsi" w:cstheme="minorBidi"/>
          <w:noProof/>
          <w:szCs w:val="22"/>
          <w:lang w:eastAsia="en-AU"/>
        </w:rPr>
      </w:pPr>
      <w:hyperlink w:anchor="_Toc400720072" w:history="1">
        <w:r w:rsidR="004F79B1" w:rsidRPr="006D7606">
          <w:rPr>
            <w:rStyle w:val="Hyperlink"/>
            <w:noProof/>
          </w:rPr>
          <w:t>2.1.</w:t>
        </w:r>
        <w:r w:rsidR="004F79B1">
          <w:rPr>
            <w:rFonts w:asciiTheme="minorHAnsi" w:eastAsiaTheme="minorEastAsia" w:hAnsiTheme="minorHAnsi" w:cstheme="minorBidi"/>
            <w:noProof/>
            <w:szCs w:val="22"/>
            <w:lang w:eastAsia="en-AU"/>
          </w:rPr>
          <w:tab/>
        </w:r>
        <w:r w:rsidR="004F79B1" w:rsidRPr="006D7606">
          <w:rPr>
            <w:rStyle w:val="Hyperlink"/>
            <w:noProof/>
          </w:rPr>
          <w:t>Previous investigations</w:t>
        </w:r>
        <w:r w:rsidR="004F79B1">
          <w:rPr>
            <w:noProof/>
            <w:webHidden/>
          </w:rPr>
          <w:tab/>
        </w:r>
        <w:r w:rsidR="004F79B1">
          <w:rPr>
            <w:noProof/>
            <w:webHidden/>
          </w:rPr>
          <w:fldChar w:fldCharType="begin"/>
        </w:r>
        <w:r w:rsidR="004F79B1">
          <w:rPr>
            <w:noProof/>
            <w:webHidden/>
          </w:rPr>
          <w:instrText xml:space="preserve"> PAGEREF _Toc400720072 \h </w:instrText>
        </w:r>
        <w:r w:rsidR="004F79B1">
          <w:rPr>
            <w:noProof/>
            <w:webHidden/>
          </w:rPr>
        </w:r>
        <w:r w:rsidR="004F79B1">
          <w:rPr>
            <w:noProof/>
            <w:webHidden/>
          </w:rPr>
          <w:fldChar w:fldCharType="separate"/>
        </w:r>
        <w:r w:rsidR="004E469D">
          <w:rPr>
            <w:noProof/>
            <w:webHidden/>
          </w:rPr>
          <w:t>11</w:t>
        </w:r>
        <w:r w:rsidR="004F79B1">
          <w:rPr>
            <w:noProof/>
            <w:webHidden/>
          </w:rPr>
          <w:fldChar w:fldCharType="end"/>
        </w:r>
      </w:hyperlink>
    </w:p>
    <w:p w14:paraId="7124430F" w14:textId="77777777" w:rsidR="004F79B1" w:rsidRDefault="008A7C19" w:rsidP="004C43D6">
      <w:pPr>
        <w:pStyle w:val="TOC2"/>
        <w:rPr>
          <w:rFonts w:asciiTheme="minorHAnsi" w:eastAsiaTheme="minorEastAsia" w:hAnsiTheme="minorHAnsi" w:cstheme="minorBidi"/>
          <w:noProof/>
          <w:szCs w:val="22"/>
          <w:lang w:eastAsia="en-AU"/>
        </w:rPr>
      </w:pPr>
      <w:hyperlink w:anchor="_Toc400720073" w:history="1">
        <w:r w:rsidR="004F79B1" w:rsidRPr="006D7606">
          <w:rPr>
            <w:rStyle w:val="Hyperlink"/>
            <w:noProof/>
          </w:rPr>
          <w:t>2.2.</w:t>
        </w:r>
        <w:r w:rsidR="004F79B1">
          <w:rPr>
            <w:rFonts w:asciiTheme="minorHAnsi" w:eastAsiaTheme="minorEastAsia" w:hAnsiTheme="minorHAnsi" w:cstheme="minorBidi"/>
            <w:noProof/>
            <w:szCs w:val="22"/>
            <w:lang w:eastAsia="en-AU"/>
          </w:rPr>
          <w:tab/>
        </w:r>
        <w:r w:rsidR="004F79B1" w:rsidRPr="006D7606">
          <w:rPr>
            <w:rStyle w:val="Hyperlink"/>
            <w:noProof/>
          </w:rPr>
          <w:t>Relevant legislation and guidelines</w:t>
        </w:r>
        <w:r w:rsidR="004F79B1">
          <w:rPr>
            <w:noProof/>
            <w:webHidden/>
          </w:rPr>
          <w:tab/>
        </w:r>
        <w:r w:rsidR="004F79B1">
          <w:rPr>
            <w:noProof/>
            <w:webHidden/>
          </w:rPr>
          <w:fldChar w:fldCharType="begin"/>
        </w:r>
        <w:r w:rsidR="004F79B1">
          <w:rPr>
            <w:noProof/>
            <w:webHidden/>
          </w:rPr>
          <w:instrText xml:space="preserve"> PAGEREF _Toc400720073 \h </w:instrText>
        </w:r>
        <w:r w:rsidR="004F79B1">
          <w:rPr>
            <w:noProof/>
            <w:webHidden/>
          </w:rPr>
        </w:r>
        <w:r w:rsidR="004F79B1">
          <w:rPr>
            <w:noProof/>
            <w:webHidden/>
          </w:rPr>
          <w:fldChar w:fldCharType="separate"/>
        </w:r>
        <w:r w:rsidR="004E469D">
          <w:rPr>
            <w:noProof/>
            <w:webHidden/>
          </w:rPr>
          <w:t>13</w:t>
        </w:r>
        <w:r w:rsidR="004F79B1">
          <w:rPr>
            <w:noProof/>
            <w:webHidden/>
          </w:rPr>
          <w:fldChar w:fldCharType="end"/>
        </w:r>
      </w:hyperlink>
    </w:p>
    <w:p w14:paraId="172D95C1" w14:textId="77777777" w:rsidR="004F79B1" w:rsidRDefault="008A7C19" w:rsidP="004C43D6">
      <w:pPr>
        <w:pStyle w:val="TOC2"/>
        <w:rPr>
          <w:rFonts w:asciiTheme="minorHAnsi" w:eastAsiaTheme="minorEastAsia" w:hAnsiTheme="minorHAnsi" w:cstheme="minorBidi"/>
          <w:noProof/>
          <w:szCs w:val="22"/>
          <w:lang w:eastAsia="en-AU"/>
        </w:rPr>
      </w:pPr>
      <w:hyperlink w:anchor="_Toc400720074" w:history="1">
        <w:r w:rsidR="004F79B1" w:rsidRPr="006D7606">
          <w:rPr>
            <w:rStyle w:val="Hyperlink"/>
            <w:noProof/>
          </w:rPr>
          <w:t>2.3.</w:t>
        </w:r>
        <w:r w:rsidR="004F79B1">
          <w:rPr>
            <w:rFonts w:asciiTheme="minorHAnsi" w:eastAsiaTheme="minorEastAsia" w:hAnsiTheme="minorHAnsi" w:cstheme="minorBidi"/>
            <w:noProof/>
            <w:szCs w:val="22"/>
            <w:lang w:eastAsia="en-AU"/>
          </w:rPr>
          <w:tab/>
        </w:r>
        <w:r w:rsidR="004F79B1" w:rsidRPr="006D7606">
          <w:rPr>
            <w:rStyle w:val="Hyperlink"/>
            <w:noProof/>
          </w:rPr>
          <w:t>Survey methodology</w:t>
        </w:r>
        <w:r w:rsidR="004F79B1">
          <w:rPr>
            <w:noProof/>
            <w:webHidden/>
          </w:rPr>
          <w:tab/>
        </w:r>
        <w:r w:rsidR="004F79B1">
          <w:rPr>
            <w:noProof/>
            <w:webHidden/>
          </w:rPr>
          <w:fldChar w:fldCharType="begin"/>
        </w:r>
        <w:r w:rsidR="004F79B1">
          <w:rPr>
            <w:noProof/>
            <w:webHidden/>
          </w:rPr>
          <w:instrText xml:space="preserve"> PAGEREF _Toc400720074 \h </w:instrText>
        </w:r>
        <w:r w:rsidR="004F79B1">
          <w:rPr>
            <w:noProof/>
            <w:webHidden/>
          </w:rPr>
        </w:r>
        <w:r w:rsidR="004F79B1">
          <w:rPr>
            <w:noProof/>
            <w:webHidden/>
          </w:rPr>
          <w:fldChar w:fldCharType="separate"/>
        </w:r>
        <w:r w:rsidR="004E469D">
          <w:rPr>
            <w:noProof/>
            <w:webHidden/>
          </w:rPr>
          <w:t>20</w:t>
        </w:r>
        <w:r w:rsidR="004F79B1">
          <w:rPr>
            <w:noProof/>
            <w:webHidden/>
          </w:rPr>
          <w:fldChar w:fldCharType="end"/>
        </w:r>
      </w:hyperlink>
    </w:p>
    <w:p w14:paraId="4AD6D7F7" w14:textId="77777777" w:rsidR="004F79B1" w:rsidRDefault="008A7C19" w:rsidP="004C43D6">
      <w:pPr>
        <w:pStyle w:val="TOC2"/>
        <w:rPr>
          <w:rFonts w:asciiTheme="minorHAnsi" w:eastAsiaTheme="minorEastAsia" w:hAnsiTheme="minorHAnsi" w:cstheme="minorBidi"/>
          <w:noProof/>
          <w:szCs w:val="22"/>
          <w:lang w:eastAsia="en-AU"/>
        </w:rPr>
      </w:pPr>
      <w:hyperlink w:anchor="_Toc400720075" w:history="1">
        <w:r w:rsidR="004F79B1" w:rsidRPr="006D7606">
          <w:rPr>
            <w:rStyle w:val="Hyperlink"/>
            <w:noProof/>
          </w:rPr>
          <w:t>2.4.</w:t>
        </w:r>
        <w:r w:rsidR="004F79B1">
          <w:rPr>
            <w:rFonts w:asciiTheme="minorHAnsi" w:eastAsiaTheme="minorEastAsia" w:hAnsiTheme="minorHAnsi" w:cstheme="minorBidi"/>
            <w:noProof/>
            <w:szCs w:val="22"/>
            <w:lang w:eastAsia="en-AU"/>
          </w:rPr>
          <w:tab/>
        </w:r>
        <w:r w:rsidR="004F79B1" w:rsidRPr="006D7606">
          <w:rPr>
            <w:rStyle w:val="Hyperlink"/>
            <w:noProof/>
          </w:rPr>
          <w:t>Key findings and information gaps</w:t>
        </w:r>
        <w:r w:rsidR="004F79B1">
          <w:rPr>
            <w:noProof/>
            <w:webHidden/>
          </w:rPr>
          <w:tab/>
        </w:r>
        <w:r w:rsidR="004F79B1">
          <w:rPr>
            <w:noProof/>
            <w:webHidden/>
          </w:rPr>
          <w:fldChar w:fldCharType="begin"/>
        </w:r>
        <w:r w:rsidR="004F79B1">
          <w:rPr>
            <w:noProof/>
            <w:webHidden/>
          </w:rPr>
          <w:instrText xml:space="preserve"> PAGEREF _Toc400720075 \h </w:instrText>
        </w:r>
        <w:r w:rsidR="004F79B1">
          <w:rPr>
            <w:noProof/>
            <w:webHidden/>
          </w:rPr>
        </w:r>
        <w:r w:rsidR="004F79B1">
          <w:rPr>
            <w:noProof/>
            <w:webHidden/>
          </w:rPr>
          <w:fldChar w:fldCharType="separate"/>
        </w:r>
        <w:r w:rsidR="004E469D">
          <w:rPr>
            <w:noProof/>
            <w:webHidden/>
          </w:rPr>
          <w:t>24</w:t>
        </w:r>
        <w:r w:rsidR="004F79B1">
          <w:rPr>
            <w:noProof/>
            <w:webHidden/>
          </w:rPr>
          <w:fldChar w:fldCharType="end"/>
        </w:r>
      </w:hyperlink>
    </w:p>
    <w:p w14:paraId="2F280A2E" w14:textId="77777777" w:rsidR="004F79B1" w:rsidRDefault="008A7C19" w:rsidP="004C43D6">
      <w:pPr>
        <w:pStyle w:val="TOC2"/>
        <w:rPr>
          <w:rFonts w:asciiTheme="minorHAnsi" w:eastAsiaTheme="minorEastAsia" w:hAnsiTheme="minorHAnsi" w:cstheme="minorBidi"/>
          <w:noProof/>
          <w:szCs w:val="22"/>
          <w:lang w:eastAsia="en-AU"/>
        </w:rPr>
      </w:pPr>
      <w:hyperlink w:anchor="_Toc400720076" w:history="1">
        <w:r w:rsidR="004F79B1" w:rsidRPr="006D7606">
          <w:rPr>
            <w:rStyle w:val="Hyperlink"/>
            <w:noProof/>
          </w:rPr>
          <w:t>2.5.</w:t>
        </w:r>
        <w:r w:rsidR="004F79B1">
          <w:rPr>
            <w:rFonts w:asciiTheme="minorHAnsi" w:eastAsiaTheme="minorEastAsia" w:hAnsiTheme="minorHAnsi" w:cstheme="minorBidi"/>
            <w:noProof/>
            <w:szCs w:val="22"/>
            <w:lang w:eastAsia="en-AU"/>
          </w:rPr>
          <w:tab/>
        </w:r>
        <w:r w:rsidR="004F79B1" w:rsidRPr="006D7606">
          <w:rPr>
            <w:rStyle w:val="Hyperlink"/>
            <w:noProof/>
          </w:rPr>
          <w:t>Recommendations</w:t>
        </w:r>
        <w:r w:rsidR="004F79B1">
          <w:rPr>
            <w:noProof/>
            <w:webHidden/>
          </w:rPr>
          <w:tab/>
        </w:r>
        <w:r w:rsidR="004F79B1">
          <w:rPr>
            <w:noProof/>
            <w:webHidden/>
          </w:rPr>
          <w:fldChar w:fldCharType="begin"/>
        </w:r>
        <w:r w:rsidR="004F79B1">
          <w:rPr>
            <w:noProof/>
            <w:webHidden/>
          </w:rPr>
          <w:instrText xml:space="preserve"> PAGEREF _Toc400720076 \h </w:instrText>
        </w:r>
        <w:r w:rsidR="004F79B1">
          <w:rPr>
            <w:noProof/>
            <w:webHidden/>
          </w:rPr>
        </w:r>
        <w:r w:rsidR="004F79B1">
          <w:rPr>
            <w:noProof/>
            <w:webHidden/>
          </w:rPr>
          <w:fldChar w:fldCharType="separate"/>
        </w:r>
        <w:r w:rsidR="004E469D">
          <w:rPr>
            <w:noProof/>
            <w:webHidden/>
          </w:rPr>
          <w:t>30</w:t>
        </w:r>
        <w:r w:rsidR="004F79B1">
          <w:rPr>
            <w:noProof/>
            <w:webHidden/>
          </w:rPr>
          <w:fldChar w:fldCharType="end"/>
        </w:r>
      </w:hyperlink>
    </w:p>
    <w:p w14:paraId="2E1B4C52" w14:textId="77777777" w:rsidR="004F79B1" w:rsidRDefault="008A7C19" w:rsidP="004C43D6">
      <w:pPr>
        <w:pStyle w:val="TOC1"/>
        <w:rPr>
          <w:rFonts w:asciiTheme="minorHAnsi" w:eastAsiaTheme="minorEastAsia" w:hAnsiTheme="minorHAnsi" w:cstheme="minorBidi"/>
          <w:b w:val="0"/>
          <w:caps w:val="0"/>
          <w:noProof/>
          <w:szCs w:val="22"/>
          <w:lang w:eastAsia="en-AU"/>
        </w:rPr>
      </w:pPr>
      <w:hyperlink w:anchor="_Toc400720077" w:history="1">
        <w:r w:rsidR="004F79B1" w:rsidRPr="006D7606">
          <w:rPr>
            <w:rStyle w:val="Hyperlink"/>
            <w:noProof/>
          </w:rPr>
          <w:t>3.</w:t>
        </w:r>
        <w:r w:rsidR="004F79B1">
          <w:rPr>
            <w:rFonts w:asciiTheme="minorHAnsi" w:eastAsiaTheme="minorEastAsia" w:hAnsiTheme="minorHAnsi" w:cstheme="minorBidi"/>
            <w:b w:val="0"/>
            <w:caps w:val="0"/>
            <w:noProof/>
            <w:szCs w:val="22"/>
            <w:lang w:eastAsia="en-AU"/>
          </w:rPr>
          <w:tab/>
        </w:r>
        <w:r w:rsidR="004F79B1" w:rsidRPr="006D7606">
          <w:rPr>
            <w:rStyle w:val="Hyperlink"/>
            <w:noProof/>
          </w:rPr>
          <w:t>Historic heritage</w:t>
        </w:r>
        <w:r w:rsidR="004F79B1">
          <w:rPr>
            <w:noProof/>
            <w:webHidden/>
          </w:rPr>
          <w:tab/>
        </w:r>
        <w:r w:rsidR="004F79B1">
          <w:rPr>
            <w:noProof/>
            <w:webHidden/>
          </w:rPr>
          <w:fldChar w:fldCharType="begin"/>
        </w:r>
        <w:r w:rsidR="004F79B1">
          <w:rPr>
            <w:noProof/>
            <w:webHidden/>
          </w:rPr>
          <w:instrText xml:space="preserve"> PAGEREF _Toc400720077 \h </w:instrText>
        </w:r>
        <w:r w:rsidR="004F79B1">
          <w:rPr>
            <w:noProof/>
            <w:webHidden/>
          </w:rPr>
        </w:r>
        <w:r w:rsidR="004F79B1">
          <w:rPr>
            <w:noProof/>
            <w:webHidden/>
          </w:rPr>
          <w:fldChar w:fldCharType="separate"/>
        </w:r>
        <w:r w:rsidR="004E469D">
          <w:rPr>
            <w:noProof/>
            <w:webHidden/>
          </w:rPr>
          <w:t>33</w:t>
        </w:r>
        <w:r w:rsidR="004F79B1">
          <w:rPr>
            <w:noProof/>
            <w:webHidden/>
          </w:rPr>
          <w:fldChar w:fldCharType="end"/>
        </w:r>
      </w:hyperlink>
    </w:p>
    <w:p w14:paraId="684BB5CF" w14:textId="77777777" w:rsidR="004F79B1" w:rsidRDefault="008A7C19" w:rsidP="004C43D6">
      <w:pPr>
        <w:pStyle w:val="TOC2"/>
        <w:rPr>
          <w:rFonts w:asciiTheme="minorHAnsi" w:eastAsiaTheme="minorEastAsia" w:hAnsiTheme="minorHAnsi" w:cstheme="minorBidi"/>
          <w:noProof/>
          <w:szCs w:val="22"/>
          <w:lang w:eastAsia="en-AU"/>
        </w:rPr>
      </w:pPr>
      <w:hyperlink w:anchor="_Toc400720078" w:history="1">
        <w:r w:rsidR="004F79B1" w:rsidRPr="006D7606">
          <w:rPr>
            <w:rStyle w:val="Hyperlink"/>
            <w:noProof/>
          </w:rPr>
          <w:t>3.1.</w:t>
        </w:r>
        <w:r w:rsidR="004F79B1">
          <w:rPr>
            <w:rFonts w:asciiTheme="minorHAnsi" w:eastAsiaTheme="minorEastAsia" w:hAnsiTheme="minorHAnsi" w:cstheme="minorBidi"/>
            <w:noProof/>
            <w:szCs w:val="22"/>
            <w:lang w:eastAsia="en-AU"/>
          </w:rPr>
          <w:tab/>
        </w:r>
        <w:r w:rsidR="004F79B1" w:rsidRPr="006D7606">
          <w:rPr>
            <w:rStyle w:val="Hyperlink"/>
            <w:noProof/>
          </w:rPr>
          <w:t>Previous investigations</w:t>
        </w:r>
        <w:r w:rsidR="004F79B1">
          <w:rPr>
            <w:noProof/>
            <w:webHidden/>
          </w:rPr>
          <w:tab/>
        </w:r>
        <w:r w:rsidR="004F79B1">
          <w:rPr>
            <w:noProof/>
            <w:webHidden/>
          </w:rPr>
          <w:fldChar w:fldCharType="begin"/>
        </w:r>
        <w:r w:rsidR="004F79B1">
          <w:rPr>
            <w:noProof/>
            <w:webHidden/>
          </w:rPr>
          <w:instrText xml:space="preserve"> PAGEREF _Toc400720078 \h </w:instrText>
        </w:r>
        <w:r w:rsidR="004F79B1">
          <w:rPr>
            <w:noProof/>
            <w:webHidden/>
          </w:rPr>
        </w:r>
        <w:r w:rsidR="004F79B1">
          <w:rPr>
            <w:noProof/>
            <w:webHidden/>
          </w:rPr>
          <w:fldChar w:fldCharType="separate"/>
        </w:r>
        <w:r w:rsidR="004E469D">
          <w:rPr>
            <w:noProof/>
            <w:webHidden/>
          </w:rPr>
          <w:t>33</w:t>
        </w:r>
        <w:r w:rsidR="004F79B1">
          <w:rPr>
            <w:noProof/>
            <w:webHidden/>
          </w:rPr>
          <w:fldChar w:fldCharType="end"/>
        </w:r>
      </w:hyperlink>
    </w:p>
    <w:p w14:paraId="3B8AC61A" w14:textId="77777777" w:rsidR="004F79B1" w:rsidRDefault="008A7C19" w:rsidP="004C43D6">
      <w:pPr>
        <w:pStyle w:val="TOC2"/>
        <w:rPr>
          <w:rFonts w:asciiTheme="minorHAnsi" w:eastAsiaTheme="minorEastAsia" w:hAnsiTheme="minorHAnsi" w:cstheme="minorBidi"/>
          <w:noProof/>
          <w:szCs w:val="22"/>
          <w:lang w:eastAsia="en-AU"/>
        </w:rPr>
      </w:pPr>
      <w:hyperlink w:anchor="_Toc400720079" w:history="1">
        <w:r w:rsidR="004F79B1" w:rsidRPr="006D7606">
          <w:rPr>
            <w:rStyle w:val="Hyperlink"/>
            <w:noProof/>
          </w:rPr>
          <w:t>3.2.</w:t>
        </w:r>
        <w:r w:rsidR="004F79B1">
          <w:rPr>
            <w:rFonts w:asciiTheme="minorHAnsi" w:eastAsiaTheme="minorEastAsia" w:hAnsiTheme="minorHAnsi" w:cstheme="minorBidi"/>
            <w:noProof/>
            <w:szCs w:val="22"/>
            <w:lang w:eastAsia="en-AU"/>
          </w:rPr>
          <w:tab/>
        </w:r>
        <w:r w:rsidR="004F79B1" w:rsidRPr="006D7606">
          <w:rPr>
            <w:rStyle w:val="Hyperlink"/>
            <w:noProof/>
          </w:rPr>
          <w:t>Relevant legislation and guidelines</w:t>
        </w:r>
        <w:r w:rsidR="004F79B1">
          <w:rPr>
            <w:noProof/>
            <w:webHidden/>
          </w:rPr>
          <w:tab/>
        </w:r>
        <w:r w:rsidR="004F79B1">
          <w:rPr>
            <w:noProof/>
            <w:webHidden/>
          </w:rPr>
          <w:fldChar w:fldCharType="begin"/>
        </w:r>
        <w:r w:rsidR="004F79B1">
          <w:rPr>
            <w:noProof/>
            <w:webHidden/>
          </w:rPr>
          <w:instrText xml:space="preserve"> PAGEREF _Toc400720079 \h </w:instrText>
        </w:r>
        <w:r w:rsidR="004F79B1">
          <w:rPr>
            <w:noProof/>
            <w:webHidden/>
          </w:rPr>
        </w:r>
        <w:r w:rsidR="004F79B1">
          <w:rPr>
            <w:noProof/>
            <w:webHidden/>
          </w:rPr>
          <w:fldChar w:fldCharType="separate"/>
        </w:r>
        <w:r w:rsidR="004E469D">
          <w:rPr>
            <w:noProof/>
            <w:webHidden/>
          </w:rPr>
          <w:t>35</w:t>
        </w:r>
        <w:r w:rsidR="004F79B1">
          <w:rPr>
            <w:noProof/>
            <w:webHidden/>
          </w:rPr>
          <w:fldChar w:fldCharType="end"/>
        </w:r>
      </w:hyperlink>
    </w:p>
    <w:p w14:paraId="55DEAF9B" w14:textId="77777777" w:rsidR="004F79B1" w:rsidRDefault="008A7C19" w:rsidP="004C43D6">
      <w:pPr>
        <w:pStyle w:val="TOC2"/>
        <w:rPr>
          <w:rFonts w:asciiTheme="minorHAnsi" w:eastAsiaTheme="minorEastAsia" w:hAnsiTheme="minorHAnsi" w:cstheme="minorBidi"/>
          <w:noProof/>
          <w:szCs w:val="22"/>
          <w:lang w:eastAsia="en-AU"/>
        </w:rPr>
      </w:pPr>
      <w:hyperlink w:anchor="_Toc400720080" w:history="1">
        <w:r w:rsidR="004F79B1" w:rsidRPr="006D7606">
          <w:rPr>
            <w:rStyle w:val="Hyperlink"/>
            <w:noProof/>
          </w:rPr>
          <w:t>3.3.</w:t>
        </w:r>
        <w:r w:rsidR="004F79B1">
          <w:rPr>
            <w:rFonts w:asciiTheme="minorHAnsi" w:eastAsiaTheme="minorEastAsia" w:hAnsiTheme="minorHAnsi" w:cstheme="minorBidi"/>
            <w:noProof/>
            <w:szCs w:val="22"/>
            <w:lang w:eastAsia="en-AU"/>
          </w:rPr>
          <w:tab/>
        </w:r>
        <w:r w:rsidR="004F79B1" w:rsidRPr="006D7606">
          <w:rPr>
            <w:rStyle w:val="Hyperlink"/>
            <w:noProof/>
          </w:rPr>
          <w:t>Survey methodology</w:t>
        </w:r>
        <w:r w:rsidR="004F79B1">
          <w:rPr>
            <w:noProof/>
            <w:webHidden/>
          </w:rPr>
          <w:tab/>
        </w:r>
        <w:r w:rsidR="004F79B1">
          <w:rPr>
            <w:noProof/>
            <w:webHidden/>
          </w:rPr>
          <w:fldChar w:fldCharType="begin"/>
        </w:r>
        <w:r w:rsidR="004F79B1">
          <w:rPr>
            <w:noProof/>
            <w:webHidden/>
          </w:rPr>
          <w:instrText xml:space="preserve"> PAGEREF _Toc400720080 \h </w:instrText>
        </w:r>
        <w:r w:rsidR="004F79B1">
          <w:rPr>
            <w:noProof/>
            <w:webHidden/>
          </w:rPr>
        </w:r>
        <w:r w:rsidR="004F79B1">
          <w:rPr>
            <w:noProof/>
            <w:webHidden/>
          </w:rPr>
          <w:fldChar w:fldCharType="separate"/>
        </w:r>
        <w:r w:rsidR="004E469D">
          <w:rPr>
            <w:noProof/>
            <w:webHidden/>
          </w:rPr>
          <w:t>37</w:t>
        </w:r>
        <w:r w:rsidR="004F79B1">
          <w:rPr>
            <w:noProof/>
            <w:webHidden/>
          </w:rPr>
          <w:fldChar w:fldCharType="end"/>
        </w:r>
      </w:hyperlink>
    </w:p>
    <w:p w14:paraId="5B03B72E" w14:textId="77777777" w:rsidR="004F79B1" w:rsidRDefault="008A7C19" w:rsidP="004C43D6">
      <w:pPr>
        <w:pStyle w:val="TOC2"/>
        <w:rPr>
          <w:rFonts w:asciiTheme="minorHAnsi" w:eastAsiaTheme="minorEastAsia" w:hAnsiTheme="minorHAnsi" w:cstheme="minorBidi"/>
          <w:noProof/>
          <w:szCs w:val="22"/>
          <w:lang w:eastAsia="en-AU"/>
        </w:rPr>
      </w:pPr>
      <w:hyperlink w:anchor="_Toc400720081" w:history="1">
        <w:r w:rsidR="004F79B1" w:rsidRPr="006D7606">
          <w:rPr>
            <w:rStyle w:val="Hyperlink"/>
            <w:noProof/>
          </w:rPr>
          <w:t>3.4.</w:t>
        </w:r>
        <w:r w:rsidR="004F79B1">
          <w:rPr>
            <w:rFonts w:asciiTheme="minorHAnsi" w:eastAsiaTheme="minorEastAsia" w:hAnsiTheme="minorHAnsi" w:cstheme="minorBidi"/>
            <w:noProof/>
            <w:szCs w:val="22"/>
            <w:lang w:eastAsia="en-AU"/>
          </w:rPr>
          <w:tab/>
        </w:r>
        <w:r w:rsidR="004F79B1" w:rsidRPr="006D7606">
          <w:rPr>
            <w:rStyle w:val="Hyperlink"/>
            <w:noProof/>
          </w:rPr>
          <w:t>Key findings and information gaps</w:t>
        </w:r>
        <w:r w:rsidR="004F79B1">
          <w:rPr>
            <w:noProof/>
            <w:webHidden/>
          </w:rPr>
          <w:tab/>
        </w:r>
        <w:r w:rsidR="004F79B1">
          <w:rPr>
            <w:noProof/>
            <w:webHidden/>
          </w:rPr>
          <w:fldChar w:fldCharType="begin"/>
        </w:r>
        <w:r w:rsidR="004F79B1">
          <w:rPr>
            <w:noProof/>
            <w:webHidden/>
          </w:rPr>
          <w:instrText xml:space="preserve"> PAGEREF _Toc400720081 \h </w:instrText>
        </w:r>
        <w:r w:rsidR="004F79B1">
          <w:rPr>
            <w:noProof/>
            <w:webHidden/>
          </w:rPr>
        </w:r>
        <w:r w:rsidR="004F79B1">
          <w:rPr>
            <w:noProof/>
            <w:webHidden/>
          </w:rPr>
          <w:fldChar w:fldCharType="separate"/>
        </w:r>
        <w:r w:rsidR="004E469D">
          <w:rPr>
            <w:noProof/>
            <w:webHidden/>
          </w:rPr>
          <w:t>39</w:t>
        </w:r>
        <w:r w:rsidR="004F79B1">
          <w:rPr>
            <w:noProof/>
            <w:webHidden/>
          </w:rPr>
          <w:fldChar w:fldCharType="end"/>
        </w:r>
      </w:hyperlink>
    </w:p>
    <w:p w14:paraId="389752CD" w14:textId="77777777" w:rsidR="004F79B1" w:rsidRDefault="008A7C19" w:rsidP="004C43D6">
      <w:pPr>
        <w:pStyle w:val="TOC2"/>
        <w:rPr>
          <w:rFonts w:asciiTheme="minorHAnsi" w:eastAsiaTheme="minorEastAsia" w:hAnsiTheme="minorHAnsi" w:cstheme="minorBidi"/>
          <w:noProof/>
          <w:szCs w:val="22"/>
          <w:lang w:eastAsia="en-AU"/>
        </w:rPr>
      </w:pPr>
      <w:hyperlink w:anchor="_Toc400720082" w:history="1">
        <w:r w:rsidR="004F79B1" w:rsidRPr="006D7606">
          <w:rPr>
            <w:rStyle w:val="Hyperlink"/>
            <w:noProof/>
          </w:rPr>
          <w:t>3.5.</w:t>
        </w:r>
        <w:r w:rsidR="004F79B1">
          <w:rPr>
            <w:rFonts w:asciiTheme="minorHAnsi" w:eastAsiaTheme="minorEastAsia" w:hAnsiTheme="minorHAnsi" w:cstheme="minorBidi"/>
            <w:noProof/>
            <w:szCs w:val="22"/>
            <w:lang w:eastAsia="en-AU"/>
          </w:rPr>
          <w:tab/>
        </w:r>
        <w:r w:rsidR="004F79B1" w:rsidRPr="006D7606">
          <w:rPr>
            <w:rStyle w:val="Hyperlink"/>
            <w:noProof/>
          </w:rPr>
          <w:t>Recommendations</w:t>
        </w:r>
        <w:r w:rsidR="004F79B1">
          <w:rPr>
            <w:noProof/>
            <w:webHidden/>
          </w:rPr>
          <w:tab/>
        </w:r>
        <w:r w:rsidR="004F79B1">
          <w:rPr>
            <w:noProof/>
            <w:webHidden/>
          </w:rPr>
          <w:fldChar w:fldCharType="begin"/>
        </w:r>
        <w:r w:rsidR="004F79B1">
          <w:rPr>
            <w:noProof/>
            <w:webHidden/>
          </w:rPr>
          <w:instrText xml:space="preserve"> PAGEREF _Toc400720082 \h </w:instrText>
        </w:r>
        <w:r w:rsidR="004F79B1">
          <w:rPr>
            <w:noProof/>
            <w:webHidden/>
          </w:rPr>
        </w:r>
        <w:r w:rsidR="004F79B1">
          <w:rPr>
            <w:noProof/>
            <w:webHidden/>
          </w:rPr>
          <w:fldChar w:fldCharType="separate"/>
        </w:r>
        <w:r w:rsidR="004E469D">
          <w:rPr>
            <w:noProof/>
            <w:webHidden/>
          </w:rPr>
          <w:t>43</w:t>
        </w:r>
        <w:r w:rsidR="004F79B1">
          <w:rPr>
            <w:noProof/>
            <w:webHidden/>
          </w:rPr>
          <w:fldChar w:fldCharType="end"/>
        </w:r>
      </w:hyperlink>
    </w:p>
    <w:p w14:paraId="20505C50" w14:textId="77777777" w:rsidR="004F79B1" w:rsidRDefault="008A7C19" w:rsidP="004C43D6">
      <w:pPr>
        <w:pStyle w:val="TOC1"/>
        <w:rPr>
          <w:rFonts w:asciiTheme="minorHAnsi" w:eastAsiaTheme="minorEastAsia" w:hAnsiTheme="minorHAnsi" w:cstheme="minorBidi"/>
          <w:b w:val="0"/>
          <w:caps w:val="0"/>
          <w:noProof/>
          <w:szCs w:val="22"/>
          <w:lang w:eastAsia="en-AU"/>
        </w:rPr>
      </w:pPr>
      <w:hyperlink w:anchor="_Toc400720083" w:history="1">
        <w:r w:rsidR="004F79B1" w:rsidRPr="006D7606">
          <w:rPr>
            <w:rStyle w:val="Hyperlink"/>
            <w:noProof/>
          </w:rPr>
          <w:t>4.</w:t>
        </w:r>
        <w:r w:rsidR="004F79B1">
          <w:rPr>
            <w:rFonts w:asciiTheme="minorHAnsi" w:eastAsiaTheme="minorEastAsia" w:hAnsiTheme="minorHAnsi" w:cstheme="minorBidi"/>
            <w:b w:val="0"/>
            <w:caps w:val="0"/>
            <w:noProof/>
            <w:szCs w:val="22"/>
            <w:lang w:eastAsia="en-AU"/>
          </w:rPr>
          <w:tab/>
        </w:r>
        <w:r w:rsidR="004F79B1" w:rsidRPr="006D7606">
          <w:rPr>
            <w:rStyle w:val="Hyperlink"/>
            <w:noProof/>
          </w:rPr>
          <w:t>Aboriginal heritage</w:t>
        </w:r>
        <w:r w:rsidR="004F79B1">
          <w:rPr>
            <w:noProof/>
            <w:webHidden/>
          </w:rPr>
          <w:tab/>
        </w:r>
        <w:r w:rsidR="004F79B1">
          <w:rPr>
            <w:noProof/>
            <w:webHidden/>
          </w:rPr>
          <w:fldChar w:fldCharType="begin"/>
        </w:r>
        <w:r w:rsidR="004F79B1">
          <w:rPr>
            <w:noProof/>
            <w:webHidden/>
          </w:rPr>
          <w:instrText xml:space="preserve"> PAGEREF _Toc400720083 \h </w:instrText>
        </w:r>
        <w:r w:rsidR="004F79B1">
          <w:rPr>
            <w:noProof/>
            <w:webHidden/>
          </w:rPr>
        </w:r>
        <w:r w:rsidR="004F79B1">
          <w:rPr>
            <w:noProof/>
            <w:webHidden/>
          </w:rPr>
          <w:fldChar w:fldCharType="separate"/>
        </w:r>
        <w:r w:rsidR="004E469D">
          <w:rPr>
            <w:noProof/>
            <w:webHidden/>
          </w:rPr>
          <w:t>45</w:t>
        </w:r>
        <w:r w:rsidR="004F79B1">
          <w:rPr>
            <w:noProof/>
            <w:webHidden/>
          </w:rPr>
          <w:fldChar w:fldCharType="end"/>
        </w:r>
      </w:hyperlink>
    </w:p>
    <w:p w14:paraId="45F23ABC" w14:textId="77777777" w:rsidR="004F79B1" w:rsidRDefault="008A7C19" w:rsidP="004C43D6">
      <w:pPr>
        <w:pStyle w:val="TOC2"/>
        <w:rPr>
          <w:rFonts w:asciiTheme="minorHAnsi" w:eastAsiaTheme="minorEastAsia" w:hAnsiTheme="minorHAnsi" w:cstheme="minorBidi"/>
          <w:noProof/>
          <w:szCs w:val="22"/>
          <w:lang w:eastAsia="en-AU"/>
        </w:rPr>
      </w:pPr>
      <w:hyperlink w:anchor="_Toc400720084" w:history="1">
        <w:r w:rsidR="004F79B1" w:rsidRPr="006D7606">
          <w:rPr>
            <w:rStyle w:val="Hyperlink"/>
            <w:noProof/>
          </w:rPr>
          <w:t>4.1.</w:t>
        </w:r>
        <w:r w:rsidR="004F79B1">
          <w:rPr>
            <w:rFonts w:asciiTheme="minorHAnsi" w:eastAsiaTheme="minorEastAsia" w:hAnsiTheme="minorHAnsi" w:cstheme="minorBidi"/>
            <w:noProof/>
            <w:szCs w:val="22"/>
            <w:lang w:eastAsia="en-AU"/>
          </w:rPr>
          <w:tab/>
        </w:r>
        <w:r w:rsidR="004F79B1" w:rsidRPr="006D7606">
          <w:rPr>
            <w:rStyle w:val="Hyperlink"/>
            <w:noProof/>
          </w:rPr>
          <w:t>Previous investigations</w:t>
        </w:r>
        <w:r w:rsidR="004F79B1">
          <w:rPr>
            <w:noProof/>
            <w:webHidden/>
          </w:rPr>
          <w:tab/>
        </w:r>
        <w:r w:rsidR="004F79B1">
          <w:rPr>
            <w:noProof/>
            <w:webHidden/>
          </w:rPr>
          <w:fldChar w:fldCharType="begin"/>
        </w:r>
        <w:r w:rsidR="004F79B1">
          <w:rPr>
            <w:noProof/>
            <w:webHidden/>
          </w:rPr>
          <w:instrText xml:space="preserve"> PAGEREF _Toc400720084 \h </w:instrText>
        </w:r>
        <w:r w:rsidR="004F79B1">
          <w:rPr>
            <w:noProof/>
            <w:webHidden/>
          </w:rPr>
        </w:r>
        <w:r w:rsidR="004F79B1">
          <w:rPr>
            <w:noProof/>
            <w:webHidden/>
          </w:rPr>
          <w:fldChar w:fldCharType="separate"/>
        </w:r>
        <w:r w:rsidR="004E469D">
          <w:rPr>
            <w:noProof/>
            <w:webHidden/>
          </w:rPr>
          <w:t>45</w:t>
        </w:r>
        <w:r w:rsidR="004F79B1">
          <w:rPr>
            <w:noProof/>
            <w:webHidden/>
          </w:rPr>
          <w:fldChar w:fldCharType="end"/>
        </w:r>
      </w:hyperlink>
    </w:p>
    <w:p w14:paraId="78C417AF" w14:textId="77777777" w:rsidR="004F79B1" w:rsidRDefault="008A7C19" w:rsidP="004C43D6">
      <w:pPr>
        <w:pStyle w:val="TOC2"/>
        <w:rPr>
          <w:rFonts w:asciiTheme="minorHAnsi" w:eastAsiaTheme="minorEastAsia" w:hAnsiTheme="minorHAnsi" w:cstheme="minorBidi"/>
          <w:noProof/>
          <w:szCs w:val="22"/>
          <w:lang w:eastAsia="en-AU"/>
        </w:rPr>
      </w:pPr>
      <w:hyperlink w:anchor="_Toc400720085" w:history="1">
        <w:r w:rsidR="004F79B1" w:rsidRPr="006D7606">
          <w:rPr>
            <w:rStyle w:val="Hyperlink"/>
            <w:noProof/>
          </w:rPr>
          <w:t>4.2.</w:t>
        </w:r>
        <w:r w:rsidR="004F79B1">
          <w:rPr>
            <w:rFonts w:asciiTheme="minorHAnsi" w:eastAsiaTheme="minorEastAsia" w:hAnsiTheme="minorHAnsi" w:cstheme="minorBidi"/>
            <w:noProof/>
            <w:szCs w:val="22"/>
            <w:lang w:eastAsia="en-AU"/>
          </w:rPr>
          <w:tab/>
        </w:r>
        <w:r w:rsidR="004F79B1" w:rsidRPr="006D7606">
          <w:rPr>
            <w:rStyle w:val="Hyperlink"/>
            <w:noProof/>
          </w:rPr>
          <w:t>Relevant legislation and guidelines</w:t>
        </w:r>
        <w:r w:rsidR="004F79B1">
          <w:rPr>
            <w:noProof/>
            <w:webHidden/>
          </w:rPr>
          <w:tab/>
        </w:r>
        <w:r w:rsidR="004F79B1">
          <w:rPr>
            <w:noProof/>
            <w:webHidden/>
          </w:rPr>
          <w:fldChar w:fldCharType="begin"/>
        </w:r>
        <w:r w:rsidR="004F79B1">
          <w:rPr>
            <w:noProof/>
            <w:webHidden/>
          </w:rPr>
          <w:instrText xml:space="preserve"> PAGEREF _Toc400720085 \h </w:instrText>
        </w:r>
        <w:r w:rsidR="004F79B1">
          <w:rPr>
            <w:noProof/>
            <w:webHidden/>
          </w:rPr>
        </w:r>
        <w:r w:rsidR="004F79B1">
          <w:rPr>
            <w:noProof/>
            <w:webHidden/>
          </w:rPr>
          <w:fldChar w:fldCharType="separate"/>
        </w:r>
        <w:r w:rsidR="004E469D">
          <w:rPr>
            <w:noProof/>
            <w:webHidden/>
          </w:rPr>
          <w:t>47</w:t>
        </w:r>
        <w:r w:rsidR="004F79B1">
          <w:rPr>
            <w:noProof/>
            <w:webHidden/>
          </w:rPr>
          <w:fldChar w:fldCharType="end"/>
        </w:r>
      </w:hyperlink>
    </w:p>
    <w:p w14:paraId="15CD892A" w14:textId="77777777" w:rsidR="004F79B1" w:rsidRDefault="008A7C19" w:rsidP="004C43D6">
      <w:pPr>
        <w:pStyle w:val="TOC2"/>
        <w:rPr>
          <w:rFonts w:asciiTheme="minorHAnsi" w:eastAsiaTheme="minorEastAsia" w:hAnsiTheme="minorHAnsi" w:cstheme="minorBidi"/>
          <w:noProof/>
          <w:szCs w:val="22"/>
          <w:lang w:eastAsia="en-AU"/>
        </w:rPr>
      </w:pPr>
      <w:hyperlink w:anchor="_Toc400720086" w:history="1">
        <w:r w:rsidR="004F79B1" w:rsidRPr="006D7606">
          <w:rPr>
            <w:rStyle w:val="Hyperlink"/>
            <w:noProof/>
          </w:rPr>
          <w:t>4.3.</w:t>
        </w:r>
        <w:r w:rsidR="004F79B1">
          <w:rPr>
            <w:rFonts w:asciiTheme="minorHAnsi" w:eastAsiaTheme="minorEastAsia" w:hAnsiTheme="minorHAnsi" w:cstheme="minorBidi"/>
            <w:noProof/>
            <w:szCs w:val="22"/>
            <w:lang w:eastAsia="en-AU"/>
          </w:rPr>
          <w:tab/>
        </w:r>
        <w:r w:rsidR="004F79B1" w:rsidRPr="006D7606">
          <w:rPr>
            <w:rStyle w:val="Hyperlink"/>
            <w:noProof/>
          </w:rPr>
          <w:t>Survey methodology</w:t>
        </w:r>
        <w:r w:rsidR="004F79B1">
          <w:rPr>
            <w:noProof/>
            <w:webHidden/>
          </w:rPr>
          <w:tab/>
        </w:r>
        <w:r w:rsidR="004F79B1">
          <w:rPr>
            <w:noProof/>
            <w:webHidden/>
          </w:rPr>
          <w:fldChar w:fldCharType="begin"/>
        </w:r>
        <w:r w:rsidR="004F79B1">
          <w:rPr>
            <w:noProof/>
            <w:webHidden/>
          </w:rPr>
          <w:instrText xml:space="preserve"> PAGEREF _Toc400720086 \h </w:instrText>
        </w:r>
        <w:r w:rsidR="004F79B1">
          <w:rPr>
            <w:noProof/>
            <w:webHidden/>
          </w:rPr>
        </w:r>
        <w:r w:rsidR="004F79B1">
          <w:rPr>
            <w:noProof/>
            <w:webHidden/>
          </w:rPr>
          <w:fldChar w:fldCharType="separate"/>
        </w:r>
        <w:r w:rsidR="004E469D">
          <w:rPr>
            <w:noProof/>
            <w:webHidden/>
          </w:rPr>
          <w:t>51</w:t>
        </w:r>
        <w:r w:rsidR="004F79B1">
          <w:rPr>
            <w:noProof/>
            <w:webHidden/>
          </w:rPr>
          <w:fldChar w:fldCharType="end"/>
        </w:r>
      </w:hyperlink>
    </w:p>
    <w:p w14:paraId="0913DC04" w14:textId="77777777" w:rsidR="004F79B1" w:rsidRDefault="008A7C19" w:rsidP="004C43D6">
      <w:pPr>
        <w:pStyle w:val="TOC2"/>
        <w:rPr>
          <w:rFonts w:asciiTheme="minorHAnsi" w:eastAsiaTheme="minorEastAsia" w:hAnsiTheme="minorHAnsi" w:cstheme="minorBidi"/>
          <w:noProof/>
          <w:szCs w:val="22"/>
          <w:lang w:eastAsia="en-AU"/>
        </w:rPr>
      </w:pPr>
      <w:hyperlink w:anchor="_Toc400720087" w:history="1">
        <w:r w:rsidR="004F79B1" w:rsidRPr="006D7606">
          <w:rPr>
            <w:rStyle w:val="Hyperlink"/>
            <w:noProof/>
          </w:rPr>
          <w:t>4.4.</w:t>
        </w:r>
        <w:r w:rsidR="004F79B1">
          <w:rPr>
            <w:rFonts w:asciiTheme="minorHAnsi" w:eastAsiaTheme="minorEastAsia" w:hAnsiTheme="minorHAnsi" w:cstheme="minorBidi"/>
            <w:noProof/>
            <w:szCs w:val="22"/>
            <w:lang w:eastAsia="en-AU"/>
          </w:rPr>
          <w:tab/>
        </w:r>
        <w:r w:rsidR="004F79B1" w:rsidRPr="006D7606">
          <w:rPr>
            <w:rStyle w:val="Hyperlink"/>
            <w:noProof/>
          </w:rPr>
          <w:t>Key findings and information gaps</w:t>
        </w:r>
        <w:r w:rsidR="004F79B1">
          <w:rPr>
            <w:noProof/>
            <w:webHidden/>
          </w:rPr>
          <w:tab/>
        </w:r>
        <w:r w:rsidR="004F79B1">
          <w:rPr>
            <w:noProof/>
            <w:webHidden/>
          </w:rPr>
          <w:fldChar w:fldCharType="begin"/>
        </w:r>
        <w:r w:rsidR="004F79B1">
          <w:rPr>
            <w:noProof/>
            <w:webHidden/>
          </w:rPr>
          <w:instrText xml:space="preserve"> PAGEREF _Toc400720087 \h </w:instrText>
        </w:r>
        <w:r w:rsidR="004F79B1">
          <w:rPr>
            <w:noProof/>
            <w:webHidden/>
          </w:rPr>
        </w:r>
        <w:r w:rsidR="004F79B1">
          <w:rPr>
            <w:noProof/>
            <w:webHidden/>
          </w:rPr>
          <w:fldChar w:fldCharType="separate"/>
        </w:r>
        <w:r w:rsidR="004E469D">
          <w:rPr>
            <w:noProof/>
            <w:webHidden/>
          </w:rPr>
          <w:t>52</w:t>
        </w:r>
        <w:r w:rsidR="004F79B1">
          <w:rPr>
            <w:noProof/>
            <w:webHidden/>
          </w:rPr>
          <w:fldChar w:fldCharType="end"/>
        </w:r>
      </w:hyperlink>
    </w:p>
    <w:p w14:paraId="59EC2B11" w14:textId="77777777" w:rsidR="004F79B1" w:rsidRDefault="008A7C19" w:rsidP="004C43D6">
      <w:pPr>
        <w:pStyle w:val="TOC2"/>
        <w:rPr>
          <w:rFonts w:asciiTheme="minorHAnsi" w:eastAsiaTheme="minorEastAsia" w:hAnsiTheme="minorHAnsi" w:cstheme="minorBidi"/>
          <w:noProof/>
          <w:szCs w:val="22"/>
          <w:lang w:eastAsia="en-AU"/>
        </w:rPr>
      </w:pPr>
      <w:hyperlink w:anchor="_Toc400720088" w:history="1">
        <w:r w:rsidR="004F79B1" w:rsidRPr="006D7606">
          <w:rPr>
            <w:rStyle w:val="Hyperlink"/>
            <w:noProof/>
          </w:rPr>
          <w:t>4.5.</w:t>
        </w:r>
        <w:r w:rsidR="004F79B1">
          <w:rPr>
            <w:rFonts w:asciiTheme="minorHAnsi" w:eastAsiaTheme="minorEastAsia" w:hAnsiTheme="minorHAnsi" w:cstheme="minorBidi"/>
            <w:noProof/>
            <w:szCs w:val="22"/>
            <w:lang w:eastAsia="en-AU"/>
          </w:rPr>
          <w:tab/>
        </w:r>
        <w:r w:rsidR="004F79B1" w:rsidRPr="006D7606">
          <w:rPr>
            <w:rStyle w:val="Hyperlink"/>
            <w:noProof/>
          </w:rPr>
          <w:t>Recommendations</w:t>
        </w:r>
        <w:r w:rsidR="004F79B1">
          <w:rPr>
            <w:noProof/>
            <w:webHidden/>
          </w:rPr>
          <w:tab/>
        </w:r>
        <w:r w:rsidR="004F79B1">
          <w:rPr>
            <w:noProof/>
            <w:webHidden/>
          </w:rPr>
          <w:fldChar w:fldCharType="begin"/>
        </w:r>
        <w:r w:rsidR="004F79B1">
          <w:rPr>
            <w:noProof/>
            <w:webHidden/>
          </w:rPr>
          <w:instrText xml:space="preserve"> PAGEREF _Toc400720088 \h </w:instrText>
        </w:r>
        <w:r w:rsidR="004F79B1">
          <w:rPr>
            <w:noProof/>
            <w:webHidden/>
          </w:rPr>
        </w:r>
        <w:r w:rsidR="004F79B1">
          <w:rPr>
            <w:noProof/>
            <w:webHidden/>
          </w:rPr>
          <w:fldChar w:fldCharType="separate"/>
        </w:r>
        <w:r w:rsidR="004E469D">
          <w:rPr>
            <w:noProof/>
            <w:webHidden/>
          </w:rPr>
          <w:t>54</w:t>
        </w:r>
        <w:r w:rsidR="004F79B1">
          <w:rPr>
            <w:noProof/>
            <w:webHidden/>
          </w:rPr>
          <w:fldChar w:fldCharType="end"/>
        </w:r>
      </w:hyperlink>
    </w:p>
    <w:p w14:paraId="543D0C0F" w14:textId="77777777" w:rsidR="004F79B1" w:rsidRDefault="008A7C19" w:rsidP="004C43D6">
      <w:pPr>
        <w:pStyle w:val="TOC1"/>
        <w:rPr>
          <w:rFonts w:asciiTheme="minorHAnsi" w:eastAsiaTheme="minorEastAsia" w:hAnsiTheme="minorHAnsi" w:cstheme="minorBidi"/>
          <w:b w:val="0"/>
          <w:caps w:val="0"/>
          <w:noProof/>
          <w:szCs w:val="22"/>
          <w:lang w:eastAsia="en-AU"/>
        </w:rPr>
      </w:pPr>
      <w:hyperlink w:anchor="_Toc400720089" w:history="1">
        <w:r w:rsidR="004F79B1" w:rsidRPr="006D7606">
          <w:rPr>
            <w:rStyle w:val="Hyperlink"/>
            <w:noProof/>
          </w:rPr>
          <w:t>5.</w:t>
        </w:r>
        <w:r w:rsidR="004F79B1">
          <w:rPr>
            <w:rFonts w:asciiTheme="minorHAnsi" w:eastAsiaTheme="minorEastAsia" w:hAnsiTheme="minorHAnsi" w:cstheme="minorBidi"/>
            <w:b w:val="0"/>
            <w:caps w:val="0"/>
            <w:noProof/>
            <w:szCs w:val="22"/>
            <w:lang w:eastAsia="en-AU"/>
          </w:rPr>
          <w:tab/>
        </w:r>
        <w:r w:rsidR="004F79B1" w:rsidRPr="006D7606">
          <w:rPr>
            <w:rStyle w:val="Hyperlink"/>
            <w:noProof/>
          </w:rPr>
          <w:t>Hydrology and water quality</w:t>
        </w:r>
        <w:r w:rsidR="004F79B1">
          <w:rPr>
            <w:noProof/>
            <w:webHidden/>
          </w:rPr>
          <w:tab/>
        </w:r>
        <w:r w:rsidR="004F79B1">
          <w:rPr>
            <w:noProof/>
            <w:webHidden/>
          </w:rPr>
          <w:fldChar w:fldCharType="begin"/>
        </w:r>
        <w:r w:rsidR="004F79B1">
          <w:rPr>
            <w:noProof/>
            <w:webHidden/>
          </w:rPr>
          <w:instrText xml:space="preserve"> PAGEREF _Toc400720089 \h </w:instrText>
        </w:r>
        <w:r w:rsidR="004F79B1">
          <w:rPr>
            <w:noProof/>
            <w:webHidden/>
          </w:rPr>
        </w:r>
        <w:r w:rsidR="004F79B1">
          <w:rPr>
            <w:noProof/>
            <w:webHidden/>
          </w:rPr>
          <w:fldChar w:fldCharType="separate"/>
        </w:r>
        <w:r w:rsidR="004E469D">
          <w:rPr>
            <w:noProof/>
            <w:webHidden/>
          </w:rPr>
          <w:t>55</w:t>
        </w:r>
        <w:r w:rsidR="004F79B1">
          <w:rPr>
            <w:noProof/>
            <w:webHidden/>
          </w:rPr>
          <w:fldChar w:fldCharType="end"/>
        </w:r>
      </w:hyperlink>
    </w:p>
    <w:p w14:paraId="45046FF8" w14:textId="77777777" w:rsidR="004F79B1" w:rsidRDefault="008A7C19" w:rsidP="004C43D6">
      <w:pPr>
        <w:pStyle w:val="TOC2"/>
        <w:rPr>
          <w:rFonts w:asciiTheme="minorHAnsi" w:eastAsiaTheme="minorEastAsia" w:hAnsiTheme="minorHAnsi" w:cstheme="minorBidi"/>
          <w:noProof/>
          <w:szCs w:val="22"/>
          <w:lang w:eastAsia="en-AU"/>
        </w:rPr>
      </w:pPr>
      <w:hyperlink w:anchor="_Toc400720090" w:history="1">
        <w:r w:rsidR="004F79B1" w:rsidRPr="006D7606">
          <w:rPr>
            <w:rStyle w:val="Hyperlink"/>
            <w:noProof/>
          </w:rPr>
          <w:t>5.1.</w:t>
        </w:r>
        <w:r w:rsidR="004F79B1">
          <w:rPr>
            <w:rFonts w:asciiTheme="minorHAnsi" w:eastAsiaTheme="minorEastAsia" w:hAnsiTheme="minorHAnsi" w:cstheme="minorBidi"/>
            <w:noProof/>
            <w:szCs w:val="22"/>
            <w:lang w:eastAsia="en-AU"/>
          </w:rPr>
          <w:tab/>
        </w:r>
        <w:r w:rsidR="004F79B1" w:rsidRPr="006D7606">
          <w:rPr>
            <w:rStyle w:val="Hyperlink"/>
            <w:noProof/>
          </w:rPr>
          <w:t>Previous investigations</w:t>
        </w:r>
        <w:r w:rsidR="004F79B1">
          <w:rPr>
            <w:noProof/>
            <w:webHidden/>
          </w:rPr>
          <w:tab/>
        </w:r>
        <w:r w:rsidR="004F79B1">
          <w:rPr>
            <w:noProof/>
            <w:webHidden/>
          </w:rPr>
          <w:fldChar w:fldCharType="begin"/>
        </w:r>
        <w:r w:rsidR="004F79B1">
          <w:rPr>
            <w:noProof/>
            <w:webHidden/>
          </w:rPr>
          <w:instrText xml:space="preserve"> PAGEREF _Toc400720090 \h </w:instrText>
        </w:r>
        <w:r w:rsidR="004F79B1">
          <w:rPr>
            <w:noProof/>
            <w:webHidden/>
          </w:rPr>
        </w:r>
        <w:r w:rsidR="004F79B1">
          <w:rPr>
            <w:noProof/>
            <w:webHidden/>
          </w:rPr>
          <w:fldChar w:fldCharType="separate"/>
        </w:r>
        <w:r w:rsidR="004E469D">
          <w:rPr>
            <w:noProof/>
            <w:webHidden/>
          </w:rPr>
          <w:t>55</w:t>
        </w:r>
        <w:r w:rsidR="004F79B1">
          <w:rPr>
            <w:noProof/>
            <w:webHidden/>
          </w:rPr>
          <w:fldChar w:fldCharType="end"/>
        </w:r>
      </w:hyperlink>
    </w:p>
    <w:p w14:paraId="564852BC" w14:textId="77777777" w:rsidR="004F79B1" w:rsidRDefault="008A7C19" w:rsidP="004C43D6">
      <w:pPr>
        <w:pStyle w:val="TOC2"/>
        <w:rPr>
          <w:rFonts w:asciiTheme="minorHAnsi" w:eastAsiaTheme="minorEastAsia" w:hAnsiTheme="minorHAnsi" w:cstheme="minorBidi"/>
          <w:noProof/>
          <w:szCs w:val="22"/>
          <w:lang w:eastAsia="en-AU"/>
        </w:rPr>
      </w:pPr>
      <w:hyperlink w:anchor="_Toc400720091" w:history="1">
        <w:r w:rsidR="004F79B1" w:rsidRPr="006D7606">
          <w:rPr>
            <w:rStyle w:val="Hyperlink"/>
            <w:noProof/>
          </w:rPr>
          <w:t>5.2.</w:t>
        </w:r>
        <w:r w:rsidR="004F79B1">
          <w:rPr>
            <w:rFonts w:asciiTheme="minorHAnsi" w:eastAsiaTheme="minorEastAsia" w:hAnsiTheme="minorHAnsi" w:cstheme="minorBidi"/>
            <w:noProof/>
            <w:szCs w:val="22"/>
            <w:lang w:eastAsia="en-AU"/>
          </w:rPr>
          <w:tab/>
        </w:r>
        <w:r w:rsidR="004F79B1" w:rsidRPr="006D7606">
          <w:rPr>
            <w:rStyle w:val="Hyperlink"/>
            <w:noProof/>
          </w:rPr>
          <w:t>Relevant legislation and guidelines</w:t>
        </w:r>
        <w:r w:rsidR="004F79B1">
          <w:rPr>
            <w:noProof/>
            <w:webHidden/>
          </w:rPr>
          <w:tab/>
        </w:r>
        <w:r w:rsidR="004F79B1">
          <w:rPr>
            <w:noProof/>
            <w:webHidden/>
          </w:rPr>
          <w:fldChar w:fldCharType="begin"/>
        </w:r>
        <w:r w:rsidR="004F79B1">
          <w:rPr>
            <w:noProof/>
            <w:webHidden/>
          </w:rPr>
          <w:instrText xml:space="preserve"> PAGEREF _Toc400720091 \h </w:instrText>
        </w:r>
        <w:r w:rsidR="004F79B1">
          <w:rPr>
            <w:noProof/>
            <w:webHidden/>
          </w:rPr>
        </w:r>
        <w:r w:rsidR="004F79B1">
          <w:rPr>
            <w:noProof/>
            <w:webHidden/>
          </w:rPr>
          <w:fldChar w:fldCharType="separate"/>
        </w:r>
        <w:r w:rsidR="004E469D">
          <w:rPr>
            <w:noProof/>
            <w:webHidden/>
          </w:rPr>
          <w:t>59</w:t>
        </w:r>
        <w:r w:rsidR="004F79B1">
          <w:rPr>
            <w:noProof/>
            <w:webHidden/>
          </w:rPr>
          <w:fldChar w:fldCharType="end"/>
        </w:r>
      </w:hyperlink>
    </w:p>
    <w:p w14:paraId="2F9AE7BD" w14:textId="77777777" w:rsidR="004F79B1" w:rsidRDefault="008A7C19" w:rsidP="004C43D6">
      <w:pPr>
        <w:pStyle w:val="TOC2"/>
        <w:rPr>
          <w:rFonts w:asciiTheme="minorHAnsi" w:eastAsiaTheme="minorEastAsia" w:hAnsiTheme="minorHAnsi" w:cstheme="minorBidi"/>
          <w:noProof/>
          <w:szCs w:val="22"/>
          <w:lang w:eastAsia="en-AU"/>
        </w:rPr>
      </w:pPr>
      <w:hyperlink w:anchor="_Toc400720092" w:history="1">
        <w:r w:rsidR="004F79B1" w:rsidRPr="006D7606">
          <w:rPr>
            <w:rStyle w:val="Hyperlink"/>
            <w:noProof/>
          </w:rPr>
          <w:t>5.3.</w:t>
        </w:r>
        <w:r w:rsidR="004F79B1">
          <w:rPr>
            <w:rFonts w:asciiTheme="minorHAnsi" w:eastAsiaTheme="minorEastAsia" w:hAnsiTheme="minorHAnsi" w:cstheme="minorBidi"/>
            <w:noProof/>
            <w:szCs w:val="22"/>
            <w:lang w:eastAsia="en-AU"/>
          </w:rPr>
          <w:tab/>
        </w:r>
        <w:r w:rsidR="004F79B1" w:rsidRPr="006D7606">
          <w:rPr>
            <w:rStyle w:val="Hyperlink"/>
            <w:noProof/>
          </w:rPr>
          <w:t>Survey methodology</w:t>
        </w:r>
        <w:r w:rsidR="004F79B1">
          <w:rPr>
            <w:noProof/>
            <w:webHidden/>
          </w:rPr>
          <w:tab/>
        </w:r>
        <w:r w:rsidR="004F79B1">
          <w:rPr>
            <w:noProof/>
            <w:webHidden/>
          </w:rPr>
          <w:fldChar w:fldCharType="begin"/>
        </w:r>
        <w:r w:rsidR="004F79B1">
          <w:rPr>
            <w:noProof/>
            <w:webHidden/>
          </w:rPr>
          <w:instrText xml:space="preserve"> PAGEREF _Toc400720092 \h </w:instrText>
        </w:r>
        <w:r w:rsidR="004F79B1">
          <w:rPr>
            <w:noProof/>
            <w:webHidden/>
          </w:rPr>
        </w:r>
        <w:r w:rsidR="004F79B1">
          <w:rPr>
            <w:noProof/>
            <w:webHidden/>
          </w:rPr>
          <w:fldChar w:fldCharType="separate"/>
        </w:r>
        <w:r w:rsidR="004E469D">
          <w:rPr>
            <w:noProof/>
            <w:webHidden/>
          </w:rPr>
          <w:t>62</w:t>
        </w:r>
        <w:r w:rsidR="004F79B1">
          <w:rPr>
            <w:noProof/>
            <w:webHidden/>
          </w:rPr>
          <w:fldChar w:fldCharType="end"/>
        </w:r>
      </w:hyperlink>
    </w:p>
    <w:p w14:paraId="64B917A6" w14:textId="77777777" w:rsidR="004F79B1" w:rsidRDefault="008A7C19" w:rsidP="004C43D6">
      <w:pPr>
        <w:pStyle w:val="TOC2"/>
        <w:rPr>
          <w:rFonts w:asciiTheme="minorHAnsi" w:eastAsiaTheme="minorEastAsia" w:hAnsiTheme="minorHAnsi" w:cstheme="minorBidi"/>
          <w:noProof/>
          <w:szCs w:val="22"/>
          <w:lang w:eastAsia="en-AU"/>
        </w:rPr>
      </w:pPr>
      <w:hyperlink w:anchor="_Toc400720093" w:history="1">
        <w:r w:rsidR="004F79B1" w:rsidRPr="006D7606">
          <w:rPr>
            <w:rStyle w:val="Hyperlink"/>
            <w:noProof/>
          </w:rPr>
          <w:t>5.4.</w:t>
        </w:r>
        <w:r w:rsidR="004F79B1">
          <w:rPr>
            <w:rFonts w:asciiTheme="minorHAnsi" w:eastAsiaTheme="minorEastAsia" w:hAnsiTheme="minorHAnsi" w:cstheme="minorBidi"/>
            <w:noProof/>
            <w:szCs w:val="22"/>
            <w:lang w:eastAsia="en-AU"/>
          </w:rPr>
          <w:tab/>
        </w:r>
        <w:r w:rsidR="004F79B1" w:rsidRPr="006D7606">
          <w:rPr>
            <w:rStyle w:val="Hyperlink"/>
            <w:noProof/>
          </w:rPr>
          <w:t>Key findings and information gaps</w:t>
        </w:r>
        <w:r w:rsidR="004F79B1">
          <w:rPr>
            <w:noProof/>
            <w:webHidden/>
          </w:rPr>
          <w:tab/>
        </w:r>
        <w:r w:rsidR="004F79B1">
          <w:rPr>
            <w:noProof/>
            <w:webHidden/>
          </w:rPr>
          <w:fldChar w:fldCharType="begin"/>
        </w:r>
        <w:r w:rsidR="004F79B1">
          <w:rPr>
            <w:noProof/>
            <w:webHidden/>
          </w:rPr>
          <w:instrText xml:space="preserve"> PAGEREF _Toc400720093 \h </w:instrText>
        </w:r>
        <w:r w:rsidR="004F79B1">
          <w:rPr>
            <w:noProof/>
            <w:webHidden/>
          </w:rPr>
        </w:r>
        <w:r w:rsidR="004F79B1">
          <w:rPr>
            <w:noProof/>
            <w:webHidden/>
          </w:rPr>
          <w:fldChar w:fldCharType="separate"/>
        </w:r>
        <w:r w:rsidR="004E469D">
          <w:rPr>
            <w:noProof/>
            <w:webHidden/>
          </w:rPr>
          <w:t>64</w:t>
        </w:r>
        <w:r w:rsidR="004F79B1">
          <w:rPr>
            <w:noProof/>
            <w:webHidden/>
          </w:rPr>
          <w:fldChar w:fldCharType="end"/>
        </w:r>
      </w:hyperlink>
    </w:p>
    <w:p w14:paraId="2BCD1AEA" w14:textId="77777777" w:rsidR="004F79B1" w:rsidRDefault="008A7C19" w:rsidP="004C43D6">
      <w:pPr>
        <w:pStyle w:val="TOC2"/>
        <w:rPr>
          <w:rFonts w:asciiTheme="minorHAnsi" w:eastAsiaTheme="minorEastAsia" w:hAnsiTheme="minorHAnsi" w:cstheme="minorBidi"/>
          <w:noProof/>
          <w:szCs w:val="22"/>
          <w:lang w:eastAsia="en-AU"/>
        </w:rPr>
      </w:pPr>
      <w:hyperlink w:anchor="_Toc400720094" w:history="1">
        <w:r w:rsidR="004F79B1" w:rsidRPr="006D7606">
          <w:rPr>
            <w:rStyle w:val="Hyperlink"/>
            <w:noProof/>
          </w:rPr>
          <w:t>5.5.</w:t>
        </w:r>
        <w:r w:rsidR="004F79B1">
          <w:rPr>
            <w:rFonts w:asciiTheme="minorHAnsi" w:eastAsiaTheme="minorEastAsia" w:hAnsiTheme="minorHAnsi" w:cstheme="minorBidi"/>
            <w:noProof/>
            <w:szCs w:val="22"/>
            <w:lang w:eastAsia="en-AU"/>
          </w:rPr>
          <w:tab/>
        </w:r>
        <w:r w:rsidR="004F79B1" w:rsidRPr="006D7606">
          <w:rPr>
            <w:rStyle w:val="Hyperlink"/>
            <w:noProof/>
          </w:rPr>
          <w:t>Recommendations</w:t>
        </w:r>
        <w:r w:rsidR="004F79B1">
          <w:rPr>
            <w:noProof/>
            <w:webHidden/>
          </w:rPr>
          <w:tab/>
        </w:r>
        <w:r w:rsidR="004F79B1">
          <w:rPr>
            <w:noProof/>
            <w:webHidden/>
          </w:rPr>
          <w:fldChar w:fldCharType="begin"/>
        </w:r>
        <w:r w:rsidR="004F79B1">
          <w:rPr>
            <w:noProof/>
            <w:webHidden/>
          </w:rPr>
          <w:instrText xml:space="preserve"> PAGEREF _Toc400720094 \h </w:instrText>
        </w:r>
        <w:r w:rsidR="004F79B1">
          <w:rPr>
            <w:noProof/>
            <w:webHidden/>
          </w:rPr>
        </w:r>
        <w:r w:rsidR="004F79B1">
          <w:rPr>
            <w:noProof/>
            <w:webHidden/>
          </w:rPr>
          <w:fldChar w:fldCharType="separate"/>
        </w:r>
        <w:r w:rsidR="004E469D">
          <w:rPr>
            <w:noProof/>
            <w:webHidden/>
          </w:rPr>
          <w:t>68</w:t>
        </w:r>
        <w:r w:rsidR="004F79B1">
          <w:rPr>
            <w:noProof/>
            <w:webHidden/>
          </w:rPr>
          <w:fldChar w:fldCharType="end"/>
        </w:r>
      </w:hyperlink>
    </w:p>
    <w:p w14:paraId="768E5427" w14:textId="77777777" w:rsidR="004F79B1" w:rsidRDefault="008A7C19" w:rsidP="004C43D6">
      <w:pPr>
        <w:pStyle w:val="TOC1"/>
        <w:rPr>
          <w:rFonts w:asciiTheme="minorHAnsi" w:eastAsiaTheme="minorEastAsia" w:hAnsiTheme="minorHAnsi" w:cstheme="minorBidi"/>
          <w:b w:val="0"/>
          <w:caps w:val="0"/>
          <w:noProof/>
          <w:szCs w:val="22"/>
          <w:lang w:eastAsia="en-AU"/>
        </w:rPr>
      </w:pPr>
      <w:hyperlink w:anchor="_Toc400720095" w:history="1">
        <w:r w:rsidR="004F79B1" w:rsidRPr="006D7606">
          <w:rPr>
            <w:rStyle w:val="Hyperlink"/>
            <w:noProof/>
          </w:rPr>
          <w:t>6.</w:t>
        </w:r>
        <w:r w:rsidR="004F79B1">
          <w:rPr>
            <w:rFonts w:asciiTheme="minorHAnsi" w:eastAsiaTheme="minorEastAsia" w:hAnsiTheme="minorHAnsi" w:cstheme="minorBidi"/>
            <w:b w:val="0"/>
            <w:caps w:val="0"/>
            <w:noProof/>
            <w:szCs w:val="22"/>
            <w:lang w:eastAsia="en-AU"/>
          </w:rPr>
          <w:tab/>
        </w:r>
        <w:r w:rsidR="004F79B1" w:rsidRPr="006D7606">
          <w:rPr>
            <w:rStyle w:val="Hyperlink"/>
            <w:noProof/>
          </w:rPr>
          <w:t>Other matters</w:t>
        </w:r>
        <w:r w:rsidR="004F79B1">
          <w:rPr>
            <w:noProof/>
            <w:webHidden/>
          </w:rPr>
          <w:tab/>
        </w:r>
        <w:r w:rsidR="004F79B1">
          <w:rPr>
            <w:noProof/>
            <w:webHidden/>
          </w:rPr>
          <w:fldChar w:fldCharType="begin"/>
        </w:r>
        <w:r w:rsidR="004F79B1">
          <w:rPr>
            <w:noProof/>
            <w:webHidden/>
          </w:rPr>
          <w:instrText xml:space="preserve"> PAGEREF _Toc400720095 \h </w:instrText>
        </w:r>
        <w:r w:rsidR="004F79B1">
          <w:rPr>
            <w:noProof/>
            <w:webHidden/>
          </w:rPr>
        </w:r>
        <w:r w:rsidR="004F79B1">
          <w:rPr>
            <w:noProof/>
            <w:webHidden/>
          </w:rPr>
          <w:fldChar w:fldCharType="separate"/>
        </w:r>
        <w:r w:rsidR="004E469D">
          <w:rPr>
            <w:noProof/>
            <w:webHidden/>
          </w:rPr>
          <w:t>71</w:t>
        </w:r>
        <w:r w:rsidR="004F79B1">
          <w:rPr>
            <w:noProof/>
            <w:webHidden/>
          </w:rPr>
          <w:fldChar w:fldCharType="end"/>
        </w:r>
      </w:hyperlink>
    </w:p>
    <w:p w14:paraId="4D3F5181" w14:textId="77777777" w:rsidR="004F79B1" w:rsidRDefault="008A7C19" w:rsidP="004C43D6">
      <w:pPr>
        <w:pStyle w:val="TOC2"/>
        <w:rPr>
          <w:rFonts w:asciiTheme="minorHAnsi" w:eastAsiaTheme="minorEastAsia" w:hAnsiTheme="minorHAnsi" w:cstheme="minorBidi"/>
          <w:noProof/>
          <w:szCs w:val="22"/>
          <w:lang w:eastAsia="en-AU"/>
        </w:rPr>
      </w:pPr>
      <w:hyperlink w:anchor="_Toc400720096" w:history="1">
        <w:r w:rsidR="004F79B1" w:rsidRPr="006D7606">
          <w:rPr>
            <w:rStyle w:val="Hyperlink"/>
            <w:noProof/>
          </w:rPr>
          <w:t>6.1.</w:t>
        </w:r>
        <w:r w:rsidR="004F79B1">
          <w:rPr>
            <w:rFonts w:asciiTheme="minorHAnsi" w:eastAsiaTheme="minorEastAsia" w:hAnsiTheme="minorHAnsi" w:cstheme="minorBidi"/>
            <w:noProof/>
            <w:szCs w:val="22"/>
            <w:lang w:eastAsia="en-AU"/>
          </w:rPr>
          <w:tab/>
        </w:r>
        <w:r w:rsidR="004F79B1" w:rsidRPr="006D7606">
          <w:rPr>
            <w:rStyle w:val="Hyperlink"/>
            <w:noProof/>
          </w:rPr>
          <w:t>Contamination</w:t>
        </w:r>
        <w:r w:rsidR="004F79B1">
          <w:rPr>
            <w:noProof/>
            <w:webHidden/>
          </w:rPr>
          <w:tab/>
        </w:r>
        <w:r w:rsidR="004F79B1">
          <w:rPr>
            <w:noProof/>
            <w:webHidden/>
          </w:rPr>
          <w:fldChar w:fldCharType="begin"/>
        </w:r>
        <w:r w:rsidR="004F79B1">
          <w:rPr>
            <w:noProof/>
            <w:webHidden/>
          </w:rPr>
          <w:instrText xml:space="preserve"> PAGEREF _Toc400720096 \h </w:instrText>
        </w:r>
        <w:r w:rsidR="004F79B1">
          <w:rPr>
            <w:noProof/>
            <w:webHidden/>
          </w:rPr>
        </w:r>
        <w:r w:rsidR="004F79B1">
          <w:rPr>
            <w:noProof/>
            <w:webHidden/>
          </w:rPr>
          <w:fldChar w:fldCharType="separate"/>
        </w:r>
        <w:r w:rsidR="004E469D">
          <w:rPr>
            <w:noProof/>
            <w:webHidden/>
          </w:rPr>
          <w:t>71</w:t>
        </w:r>
        <w:r w:rsidR="004F79B1">
          <w:rPr>
            <w:noProof/>
            <w:webHidden/>
          </w:rPr>
          <w:fldChar w:fldCharType="end"/>
        </w:r>
      </w:hyperlink>
    </w:p>
    <w:p w14:paraId="1126ACF0" w14:textId="77777777" w:rsidR="004F79B1" w:rsidRDefault="008A7C19" w:rsidP="004C43D6">
      <w:pPr>
        <w:pStyle w:val="TOC2"/>
        <w:rPr>
          <w:rFonts w:asciiTheme="minorHAnsi" w:eastAsiaTheme="minorEastAsia" w:hAnsiTheme="minorHAnsi" w:cstheme="minorBidi"/>
          <w:noProof/>
          <w:szCs w:val="22"/>
          <w:lang w:eastAsia="en-AU"/>
        </w:rPr>
      </w:pPr>
      <w:hyperlink w:anchor="_Toc400720097" w:history="1">
        <w:r w:rsidR="004F79B1" w:rsidRPr="006D7606">
          <w:rPr>
            <w:rStyle w:val="Hyperlink"/>
            <w:noProof/>
          </w:rPr>
          <w:t>6.2.</w:t>
        </w:r>
        <w:r w:rsidR="004F79B1">
          <w:rPr>
            <w:rFonts w:asciiTheme="minorHAnsi" w:eastAsiaTheme="minorEastAsia" w:hAnsiTheme="minorHAnsi" w:cstheme="minorBidi"/>
            <w:noProof/>
            <w:szCs w:val="22"/>
            <w:lang w:eastAsia="en-AU"/>
          </w:rPr>
          <w:tab/>
        </w:r>
        <w:r w:rsidR="004F79B1" w:rsidRPr="006D7606">
          <w:rPr>
            <w:rStyle w:val="Hyperlink"/>
            <w:noProof/>
          </w:rPr>
          <w:t>Landscape and natural heritage</w:t>
        </w:r>
        <w:r w:rsidR="004F79B1">
          <w:rPr>
            <w:noProof/>
            <w:webHidden/>
          </w:rPr>
          <w:tab/>
        </w:r>
        <w:r w:rsidR="004F79B1">
          <w:rPr>
            <w:noProof/>
            <w:webHidden/>
          </w:rPr>
          <w:fldChar w:fldCharType="begin"/>
        </w:r>
        <w:r w:rsidR="004F79B1">
          <w:rPr>
            <w:noProof/>
            <w:webHidden/>
          </w:rPr>
          <w:instrText xml:space="preserve"> PAGEREF _Toc400720097 \h </w:instrText>
        </w:r>
        <w:r w:rsidR="004F79B1">
          <w:rPr>
            <w:noProof/>
            <w:webHidden/>
          </w:rPr>
        </w:r>
        <w:r w:rsidR="004F79B1">
          <w:rPr>
            <w:noProof/>
            <w:webHidden/>
          </w:rPr>
          <w:fldChar w:fldCharType="separate"/>
        </w:r>
        <w:r w:rsidR="004E469D">
          <w:rPr>
            <w:noProof/>
            <w:webHidden/>
          </w:rPr>
          <w:t>72</w:t>
        </w:r>
        <w:r w:rsidR="004F79B1">
          <w:rPr>
            <w:noProof/>
            <w:webHidden/>
          </w:rPr>
          <w:fldChar w:fldCharType="end"/>
        </w:r>
      </w:hyperlink>
    </w:p>
    <w:p w14:paraId="13C53C52" w14:textId="77777777" w:rsidR="004F79B1" w:rsidRDefault="008A7C19" w:rsidP="004C43D6">
      <w:pPr>
        <w:pStyle w:val="TOC1"/>
        <w:rPr>
          <w:rFonts w:asciiTheme="minorHAnsi" w:eastAsiaTheme="minorEastAsia" w:hAnsiTheme="minorHAnsi" w:cstheme="minorBidi"/>
          <w:b w:val="0"/>
          <w:caps w:val="0"/>
          <w:noProof/>
          <w:szCs w:val="22"/>
          <w:lang w:eastAsia="en-AU"/>
        </w:rPr>
      </w:pPr>
      <w:hyperlink w:anchor="_Toc400720098" w:history="1">
        <w:r w:rsidR="004F79B1" w:rsidRPr="006D7606">
          <w:rPr>
            <w:rStyle w:val="Hyperlink"/>
            <w:noProof/>
          </w:rPr>
          <w:t>7.</w:t>
        </w:r>
        <w:r w:rsidR="004F79B1">
          <w:rPr>
            <w:rFonts w:asciiTheme="minorHAnsi" w:eastAsiaTheme="minorEastAsia" w:hAnsiTheme="minorHAnsi" w:cstheme="minorBidi"/>
            <w:b w:val="0"/>
            <w:caps w:val="0"/>
            <w:noProof/>
            <w:szCs w:val="22"/>
            <w:lang w:eastAsia="en-AU"/>
          </w:rPr>
          <w:tab/>
        </w:r>
        <w:r w:rsidR="004F79B1" w:rsidRPr="006D7606">
          <w:rPr>
            <w:rStyle w:val="Hyperlink"/>
            <w:noProof/>
          </w:rPr>
          <w:t>Summary and Recommendations</w:t>
        </w:r>
        <w:r w:rsidR="004F79B1">
          <w:rPr>
            <w:noProof/>
            <w:webHidden/>
          </w:rPr>
          <w:tab/>
        </w:r>
        <w:r w:rsidR="004F79B1">
          <w:rPr>
            <w:noProof/>
            <w:webHidden/>
          </w:rPr>
          <w:fldChar w:fldCharType="begin"/>
        </w:r>
        <w:r w:rsidR="004F79B1">
          <w:rPr>
            <w:noProof/>
            <w:webHidden/>
          </w:rPr>
          <w:instrText xml:space="preserve"> PAGEREF _Toc400720098 \h </w:instrText>
        </w:r>
        <w:r w:rsidR="004F79B1">
          <w:rPr>
            <w:noProof/>
            <w:webHidden/>
          </w:rPr>
        </w:r>
        <w:r w:rsidR="004F79B1">
          <w:rPr>
            <w:noProof/>
            <w:webHidden/>
          </w:rPr>
          <w:fldChar w:fldCharType="separate"/>
        </w:r>
        <w:r w:rsidR="004E469D">
          <w:rPr>
            <w:noProof/>
            <w:webHidden/>
          </w:rPr>
          <w:t>75</w:t>
        </w:r>
        <w:r w:rsidR="004F79B1">
          <w:rPr>
            <w:noProof/>
            <w:webHidden/>
          </w:rPr>
          <w:fldChar w:fldCharType="end"/>
        </w:r>
      </w:hyperlink>
    </w:p>
    <w:p w14:paraId="10A7D40F" w14:textId="77777777" w:rsidR="004F79B1" w:rsidRDefault="008A7C19" w:rsidP="004C43D6">
      <w:pPr>
        <w:pStyle w:val="TOC2"/>
        <w:rPr>
          <w:rFonts w:asciiTheme="minorHAnsi" w:eastAsiaTheme="minorEastAsia" w:hAnsiTheme="minorHAnsi" w:cstheme="minorBidi"/>
          <w:noProof/>
          <w:szCs w:val="22"/>
          <w:lang w:eastAsia="en-AU"/>
        </w:rPr>
      </w:pPr>
      <w:hyperlink w:anchor="_Toc400720099" w:history="1">
        <w:r w:rsidR="004F79B1" w:rsidRPr="006D7606">
          <w:rPr>
            <w:rStyle w:val="Hyperlink"/>
            <w:noProof/>
          </w:rPr>
          <w:t>7.1.</w:t>
        </w:r>
        <w:r w:rsidR="004F79B1">
          <w:rPr>
            <w:rFonts w:asciiTheme="minorHAnsi" w:eastAsiaTheme="minorEastAsia" w:hAnsiTheme="minorHAnsi" w:cstheme="minorBidi"/>
            <w:noProof/>
            <w:szCs w:val="22"/>
            <w:lang w:eastAsia="en-AU"/>
          </w:rPr>
          <w:tab/>
        </w:r>
        <w:r w:rsidR="004F79B1" w:rsidRPr="006D7606">
          <w:rPr>
            <w:rStyle w:val="Hyperlink"/>
            <w:noProof/>
          </w:rPr>
          <w:t>Summary</w:t>
        </w:r>
        <w:r w:rsidR="004F79B1">
          <w:rPr>
            <w:noProof/>
            <w:webHidden/>
          </w:rPr>
          <w:tab/>
        </w:r>
        <w:r w:rsidR="004F79B1">
          <w:rPr>
            <w:noProof/>
            <w:webHidden/>
          </w:rPr>
          <w:fldChar w:fldCharType="begin"/>
        </w:r>
        <w:r w:rsidR="004F79B1">
          <w:rPr>
            <w:noProof/>
            <w:webHidden/>
          </w:rPr>
          <w:instrText xml:space="preserve"> PAGEREF _Toc400720099 \h </w:instrText>
        </w:r>
        <w:r w:rsidR="004F79B1">
          <w:rPr>
            <w:noProof/>
            <w:webHidden/>
          </w:rPr>
        </w:r>
        <w:r w:rsidR="004F79B1">
          <w:rPr>
            <w:noProof/>
            <w:webHidden/>
          </w:rPr>
          <w:fldChar w:fldCharType="separate"/>
        </w:r>
        <w:r w:rsidR="004E469D">
          <w:rPr>
            <w:noProof/>
            <w:webHidden/>
          </w:rPr>
          <w:t>75</w:t>
        </w:r>
        <w:r w:rsidR="004F79B1">
          <w:rPr>
            <w:noProof/>
            <w:webHidden/>
          </w:rPr>
          <w:fldChar w:fldCharType="end"/>
        </w:r>
      </w:hyperlink>
    </w:p>
    <w:p w14:paraId="117EF4C1" w14:textId="77777777" w:rsidR="004F79B1" w:rsidRDefault="008A7C19" w:rsidP="004C43D6">
      <w:pPr>
        <w:pStyle w:val="TOC2"/>
        <w:rPr>
          <w:rFonts w:asciiTheme="minorHAnsi" w:eastAsiaTheme="minorEastAsia" w:hAnsiTheme="minorHAnsi" w:cstheme="minorBidi"/>
          <w:noProof/>
          <w:szCs w:val="22"/>
          <w:lang w:eastAsia="en-AU"/>
        </w:rPr>
      </w:pPr>
      <w:hyperlink w:anchor="_Toc400720100" w:history="1">
        <w:r w:rsidR="004F79B1" w:rsidRPr="006D7606">
          <w:rPr>
            <w:rStyle w:val="Hyperlink"/>
            <w:noProof/>
          </w:rPr>
          <w:t>7.2.</w:t>
        </w:r>
        <w:r w:rsidR="004F79B1">
          <w:rPr>
            <w:rFonts w:asciiTheme="minorHAnsi" w:eastAsiaTheme="minorEastAsia" w:hAnsiTheme="minorHAnsi" w:cstheme="minorBidi"/>
            <w:noProof/>
            <w:szCs w:val="22"/>
            <w:lang w:eastAsia="en-AU"/>
          </w:rPr>
          <w:tab/>
        </w:r>
        <w:r w:rsidR="004F79B1" w:rsidRPr="006D7606">
          <w:rPr>
            <w:rStyle w:val="Hyperlink"/>
            <w:noProof/>
          </w:rPr>
          <w:t>Recommendations</w:t>
        </w:r>
        <w:r w:rsidR="004F79B1">
          <w:rPr>
            <w:noProof/>
            <w:webHidden/>
          </w:rPr>
          <w:tab/>
        </w:r>
        <w:r w:rsidR="004F79B1">
          <w:rPr>
            <w:noProof/>
            <w:webHidden/>
          </w:rPr>
          <w:fldChar w:fldCharType="begin"/>
        </w:r>
        <w:r w:rsidR="004F79B1">
          <w:rPr>
            <w:noProof/>
            <w:webHidden/>
          </w:rPr>
          <w:instrText xml:space="preserve"> PAGEREF _Toc400720100 \h </w:instrText>
        </w:r>
        <w:r w:rsidR="004F79B1">
          <w:rPr>
            <w:noProof/>
            <w:webHidden/>
          </w:rPr>
        </w:r>
        <w:r w:rsidR="004F79B1">
          <w:rPr>
            <w:noProof/>
            <w:webHidden/>
          </w:rPr>
          <w:fldChar w:fldCharType="separate"/>
        </w:r>
        <w:r w:rsidR="004E469D">
          <w:rPr>
            <w:noProof/>
            <w:webHidden/>
          </w:rPr>
          <w:t>77</w:t>
        </w:r>
        <w:r w:rsidR="004F79B1">
          <w:rPr>
            <w:noProof/>
            <w:webHidden/>
          </w:rPr>
          <w:fldChar w:fldCharType="end"/>
        </w:r>
      </w:hyperlink>
    </w:p>
    <w:p w14:paraId="4E805785" w14:textId="77777777" w:rsidR="004F79B1" w:rsidRDefault="008A7C19" w:rsidP="004C43D6">
      <w:pPr>
        <w:pStyle w:val="TOC1"/>
        <w:rPr>
          <w:rFonts w:asciiTheme="minorHAnsi" w:eastAsiaTheme="minorEastAsia" w:hAnsiTheme="minorHAnsi" w:cstheme="minorBidi"/>
          <w:b w:val="0"/>
          <w:caps w:val="0"/>
          <w:noProof/>
          <w:szCs w:val="22"/>
          <w:lang w:eastAsia="en-AU"/>
        </w:rPr>
      </w:pPr>
      <w:hyperlink w:anchor="_Toc400720101" w:history="1">
        <w:r w:rsidR="004F79B1" w:rsidRPr="006D7606">
          <w:rPr>
            <w:rStyle w:val="Hyperlink"/>
            <w:noProof/>
          </w:rPr>
          <w:t>8.</w:t>
        </w:r>
        <w:r w:rsidR="004F79B1">
          <w:rPr>
            <w:rFonts w:asciiTheme="minorHAnsi" w:eastAsiaTheme="minorEastAsia" w:hAnsiTheme="minorHAnsi" w:cstheme="minorBidi"/>
            <w:b w:val="0"/>
            <w:caps w:val="0"/>
            <w:noProof/>
            <w:szCs w:val="22"/>
            <w:lang w:eastAsia="en-AU"/>
          </w:rPr>
          <w:tab/>
        </w:r>
        <w:r w:rsidR="004F79B1" w:rsidRPr="006D7606">
          <w:rPr>
            <w:rStyle w:val="Hyperlink"/>
            <w:noProof/>
          </w:rPr>
          <w:t>References</w:t>
        </w:r>
        <w:r w:rsidR="004F79B1">
          <w:rPr>
            <w:noProof/>
            <w:webHidden/>
          </w:rPr>
          <w:tab/>
        </w:r>
        <w:r w:rsidR="004F79B1">
          <w:rPr>
            <w:noProof/>
            <w:webHidden/>
          </w:rPr>
          <w:fldChar w:fldCharType="begin"/>
        </w:r>
        <w:r w:rsidR="004F79B1">
          <w:rPr>
            <w:noProof/>
            <w:webHidden/>
          </w:rPr>
          <w:instrText xml:space="preserve"> PAGEREF _Toc400720101 \h </w:instrText>
        </w:r>
        <w:r w:rsidR="004F79B1">
          <w:rPr>
            <w:noProof/>
            <w:webHidden/>
          </w:rPr>
        </w:r>
        <w:r w:rsidR="004F79B1">
          <w:rPr>
            <w:noProof/>
            <w:webHidden/>
          </w:rPr>
          <w:fldChar w:fldCharType="separate"/>
        </w:r>
        <w:r w:rsidR="004E469D">
          <w:rPr>
            <w:noProof/>
            <w:webHidden/>
          </w:rPr>
          <w:t>83</w:t>
        </w:r>
        <w:r w:rsidR="004F79B1">
          <w:rPr>
            <w:noProof/>
            <w:webHidden/>
          </w:rPr>
          <w:fldChar w:fldCharType="end"/>
        </w:r>
      </w:hyperlink>
    </w:p>
    <w:p w14:paraId="14877B69" w14:textId="01424CB0" w:rsidR="004C43D6" w:rsidRPr="00334444" w:rsidRDefault="005C6375" w:rsidP="002C0342">
      <w:pPr>
        <w:pStyle w:val="Heading1-NoTOC"/>
        <w:pageBreakBefore w:val="0"/>
        <w:pBdr>
          <w:bottom w:val="none" w:sz="0" w:space="0" w:color="auto"/>
        </w:pBdr>
        <w:spacing w:before="120" w:after="60"/>
        <w:ind w:left="426"/>
        <w:rPr>
          <w:rFonts w:eastAsia="Cambria"/>
          <w:caps w:val="0"/>
          <w:color w:val="auto"/>
          <w:sz w:val="22"/>
          <w:szCs w:val="24"/>
        </w:rPr>
      </w:pPr>
      <w:r>
        <w:rPr>
          <w:rFonts w:eastAsia="Cambria"/>
          <w:caps w:val="0"/>
          <w:color w:val="auto"/>
          <w:sz w:val="22"/>
          <w:szCs w:val="24"/>
        </w:rPr>
        <w:fldChar w:fldCharType="end"/>
      </w:r>
      <w:hyperlink w:anchor="Appendix_A" w:history="1">
        <w:r w:rsidR="004C43D6" w:rsidRPr="00334444">
          <w:rPr>
            <w:rStyle w:val="Hyperlink"/>
            <w:rFonts w:eastAsia="Cambria"/>
            <w:caps w:val="0"/>
            <w:color w:val="auto"/>
            <w:sz w:val="22"/>
            <w:szCs w:val="24"/>
            <w:u w:val="none"/>
          </w:rPr>
          <w:t>APPENDIX A</w:t>
        </w:r>
        <w:r w:rsidR="004C43D6" w:rsidRPr="00334444">
          <w:rPr>
            <w:rStyle w:val="Hyperlink"/>
            <w:rFonts w:eastAsia="Cambria"/>
            <w:caps w:val="0"/>
            <w:color w:val="auto"/>
            <w:sz w:val="22"/>
            <w:szCs w:val="24"/>
            <w:u w:val="none"/>
          </w:rPr>
          <w:tab/>
          <w:t>BIODIVERSITY REPORT</w:t>
        </w:r>
      </w:hyperlink>
    </w:p>
    <w:p w14:paraId="65C70500" w14:textId="207F07B1" w:rsidR="004C43D6" w:rsidRPr="00334444" w:rsidRDefault="008A7C19" w:rsidP="002C0342">
      <w:pPr>
        <w:pStyle w:val="Heading1-NoTOC"/>
        <w:pageBreakBefore w:val="0"/>
        <w:pBdr>
          <w:bottom w:val="none" w:sz="0" w:space="0" w:color="auto"/>
        </w:pBdr>
        <w:spacing w:after="60"/>
        <w:ind w:left="426"/>
        <w:rPr>
          <w:rFonts w:eastAsia="Cambria"/>
          <w:caps w:val="0"/>
          <w:color w:val="auto"/>
          <w:sz w:val="22"/>
          <w:szCs w:val="24"/>
        </w:rPr>
      </w:pPr>
      <w:hyperlink w:anchor="Appendix_B" w:history="1">
        <w:r w:rsidR="004C43D6" w:rsidRPr="00334444">
          <w:rPr>
            <w:rStyle w:val="Hyperlink"/>
            <w:rFonts w:eastAsia="Cambria"/>
            <w:caps w:val="0"/>
            <w:color w:val="auto"/>
            <w:sz w:val="22"/>
            <w:szCs w:val="24"/>
            <w:u w:val="none"/>
          </w:rPr>
          <w:t>APPENDIX B</w:t>
        </w:r>
        <w:r w:rsidR="004C43D6" w:rsidRPr="00334444">
          <w:rPr>
            <w:rStyle w:val="Hyperlink"/>
            <w:rFonts w:eastAsia="Cambria"/>
            <w:caps w:val="0"/>
            <w:color w:val="auto"/>
            <w:sz w:val="22"/>
            <w:szCs w:val="24"/>
            <w:u w:val="none"/>
          </w:rPr>
          <w:tab/>
          <w:t>HISTORICAL HERITAGE REPORT</w:t>
        </w:r>
      </w:hyperlink>
    </w:p>
    <w:p w14:paraId="0C05E674" w14:textId="581779FE" w:rsidR="004C43D6" w:rsidRPr="00334444" w:rsidRDefault="008A7C19" w:rsidP="002C0342">
      <w:pPr>
        <w:pStyle w:val="Heading1-NoTOC"/>
        <w:pageBreakBefore w:val="0"/>
        <w:pBdr>
          <w:bottom w:val="none" w:sz="0" w:space="0" w:color="auto"/>
        </w:pBdr>
        <w:spacing w:after="60"/>
        <w:ind w:left="426"/>
        <w:rPr>
          <w:rFonts w:eastAsia="Cambria"/>
          <w:caps w:val="0"/>
          <w:color w:val="auto"/>
          <w:sz w:val="22"/>
          <w:szCs w:val="24"/>
        </w:rPr>
      </w:pPr>
      <w:hyperlink w:anchor="Appendix_C" w:history="1">
        <w:r w:rsidR="004C43D6" w:rsidRPr="00334444">
          <w:rPr>
            <w:rStyle w:val="Hyperlink"/>
            <w:rFonts w:eastAsia="Cambria"/>
            <w:caps w:val="0"/>
            <w:color w:val="auto"/>
            <w:sz w:val="22"/>
            <w:szCs w:val="24"/>
            <w:u w:val="none"/>
          </w:rPr>
          <w:t>APPENDIX C</w:t>
        </w:r>
        <w:r w:rsidR="004C43D6" w:rsidRPr="00334444">
          <w:rPr>
            <w:rStyle w:val="Hyperlink"/>
            <w:rFonts w:eastAsia="Cambria"/>
            <w:caps w:val="0"/>
            <w:color w:val="auto"/>
            <w:sz w:val="22"/>
            <w:szCs w:val="24"/>
            <w:u w:val="none"/>
          </w:rPr>
          <w:tab/>
          <w:t>ABORIGINAL HERITAGE REPORT</w:t>
        </w:r>
      </w:hyperlink>
    </w:p>
    <w:p w14:paraId="747C1A0C" w14:textId="45ACD4A8" w:rsidR="004C43D6" w:rsidRPr="00334444" w:rsidRDefault="008A7C19" w:rsidP="002C0342">
      <w:pPr>
        <w:pStyle w:val="Heading1-NoTOC"/>
        <w:pageBreakBefore w:val="0"/>
        <w:pBdr>
          <w:bottom w:val="none" w:sz="0" w:space="0" w:color="auto"/>
        </w:pBdr>
        <w:spacing w:after="60"/>
        <w:ind w:left="426"/>
        <w:rPr>
          <w:rFonts w:eastAsia="Cambria"/>
          <w:caps w:val="0"/>
          <w:color w:val="auto"/>
          <w:sz w:val="22"/>
          <w:szCs w:val="24"/>
        </w:rPr>
      </w:pPr>
      <w:hyperlink w:anchor="Appendix_D" w:history="1">
        <w:r w:rsidR="004C43D6" w:rsidRPr="00334444">
          <w:rPr>
            <w:rStyle w:val="Hyperlink"/>
            <w:rFonts w:eastAsia="Cambria"/>
            <w:caps w:val="0"/>
            <w:color w:val="auto"/>
            <w:sz w:val="22"/>
            <w:szCs w:val="24"/>
            <w:u w:val="none"/>
          </w:rPr>
          <w:t>APPENDIX D</w:t>
        </w:r>
        <w:r w:rsidR="004C43D6" w:rsidRPr="00334444">
          <w:rPr>
            <w:rStyle w:val="Hyperlink"/>
            <w:rFonts w:eastAsia="Cambria"/>
            <w:caps w:val="0"/>
            <w:color w:val="auto"/>
            <w:sz w:val="22"/>
            <w:szCs w:val="24"/>
            <w:u w:val="none"/>
          </w:rPr>
          <w:tab/>
          <w:t>RISK ASSESSMENT</w:t>
        </w:r>
      </w:hyperlink>
    </w:p>
    <w:p w14:paraId="2C9619C0" w14:textId="695225B9" w:rsidR="004C43D6" w:rsidRPr="00083A65" w:rsidRDefault="008A7C19" w:rsidP="002C0342">
      <w:pPr>
        <w:pStyle w:val="Heading1-NoTOC"/>
        <w:pageBreakBefore w:val="0"/>
        <w:pBdr>
          <w:bottom w:val="none" w:sz="0" w:space="0" w:color="auto"/>
        </w:pBdr>
        <w:spacing w:after="60"/>
        <w:ind w:left="426"/>
        <w:rPr>
          <w:rFonts w:eastAsia="Cambria"/>
          <w:caps w:val="0"/>
          <w:color w:val="auto"/>
          <w:sz w:val="22"/>
          <w:szCs w:val="24"/>
        </w:rPr>
      </w:pPr>
      <w:hyperlink w:anchor="Appendix_E" w:history="1">
        <w:r w:rsidR="004C43D6" w:rsidRPr="00334444">
          <w:rPr>
            <w:rStyle w:val="Hyperlink"/>
            <w:rFonts w:eastAsia="Cambria"/>
            <w:caps w:val="0"/>
            <w:color w:val="auto"/>
            <w:sz w:val="22"/>
            <w:szCs w:val="24"/>
            <w:u w:val="none"/>
          </w:rPr>
          <w:t>APPENDIX E</w:t>
        </w:r>
        <w:r w:rsidR="004C43D6" w:rsidRPr="00334444">
          <w:rPr>
            <w:rStyle w:val="Hyperlink"/>
            <w:rFonts w:eastAsia="Cambria"/>
            <w:caps w:val="0"/>
            <w:color w:val="auto"/>
            <w:sz w:val="22"/>
            <w:szCs w:val="24"/>
            <w:u w:val="none"/>
          </w:rPr>
          <w:tab/>
          <w:t>WATER QU</w:t>
        </w:r>
        <w:r w:rsidR="00083A65" w:rsidRPr="00334444">
          <w:rPr>
            <w:rStyle w:val="Hyperlink"/>
            <w:rFonts w:eastAsia="Cambria"/>
            <w:caps w:val="0"/>
            <w:color w:val="auto"/>
            <w:sz w:val="22"/>
            <w:szCs w:val="24"/>
            <w:u w:val="none"/>
          </w:rPr>
          <w:t>A</w:t>
        </w:r>
        <w:r w:rsidR="004C43D6" w:rsidRPr="00334444">
          <w:rPr>
            <w:rStyle w:val="Hyperlink"/>
            <w:rFonts w:eastAsia="Cambria"/>
            <w:caps w:val="0"/>
            <w:color w:val="auto"/>
            <w:sz w:val="22"/>
            <w:szCs w:val="24"/>
            <w:u w:val="none"/>
          </w:rPr>
          <w:t>LITY ANALYSIS RESULTS</w:t>
        </w:r>
      </w:hyperlink>
    </w:p>
    <w:p w14:paraId="73AAB486" w14:textId="2E7D35D8" w:rsidR="0088266F" w:rsidRPr="00BC5516" w:rsidRDefault="003F186D" w:rsidP="00E50AC7">
      <w:pPr>
        <w:pStyle w:val="Heading1-NoTOC"/>
        <w:pageBreakBefore w:val="0"/>
        <w:spacing w:before="360"/>
        <w:rPr>
          <w:szCs w:val="24"/>
        </w:rPr>
      </w:pPr>
      <w:r w:rsidRPr="00BC5516">
        <w:t>List of Figures</w:t>
      </w:r>
    </w:p>
    <w:p w14:paraId="46A23E4A" w14:textId="77777777" w:rsidR="00500FAE" w:rsidRDefault="005C6375" w:rsidP="00500FAE">
      <w:pPr>
        <w:pStyle w:val="TableofFigures"/>
        <w:tabs>
          <w:tab w:val="left" w:pos="1320"/>
        </w:tabs>
        <w:ind w:left="1134" w:hanging="1134"/>
        <w:contextualSpacing w:val="0"/>
        <w:rPr>
          <w:rFonts w:asciiTheme="minorHAnsi" w:eastAsiaTheme="minorEastAsia" w:hAnsiTheme="minorHAnsi" w:cstheme="minorBidi"/>
          <w:noProof/>
          <w:szCs w:val="22"/>
          <w:lang w:eastAsia="en-AU"/>
        </w:rPr>
      </w:pPr>
      <w:r>
        <w:fldChar w:fldCharType="begin"/>
      </w:r>
      <w:r w:rsidR="0088266F">
        <w:instrText xml:space="preserve"> TOC \h \z \c "Figure" </w:instrText>
      </w:r>
      <w:r>
        <w:fldChar w:fldCharType="separate"/>
      </w:r>
      <w:hyperlink w:anchor="_Toc402441354" w:history="1">
        <w:r w:rsidR="00500FAE" w:rsidRPr="00E4600E">
          <w:rPr>
            <w:rStyle w:val="Hyperlink"/>
            <w:noProof/>
          </w:rPr>
          <w:t>Figure 1.1</w:t>
        </w:r>
        <w:r w:rsidR="00500FAE">
          <w:rPr>
            <w:rFonts w:asciiTheme="minorHAnsi" w:eastAsiaTheme="minorEastAsia" w:hAnsiTheme="minorHAnsi" w:cstheme="minorBidi"/>
            <w:noProof/>
            <w:szCs w:val="22"/>
            <w:lang w:eastAsia="en-AU"/>
          </w:rPr>
          <w:tab/>
        </w:r>
        <w:r w:rsidR="00500FAE" w:rsidRPr="00E4600E">
          <w:rPr>
            <w:rStyle w:val="Hyperlink"/>
            <w:noProof/>
          </w:rPr>
          <w:t>Regional context of Commonwealth land at Badgerys Creek</w:t>
        </w:r>
        <w:r w:rsidR="00500FAE">
          <w:rPr>
            <w:noProof/>
            <w:webHidden/>
          </w:rPr>
          <w:tab/>
        </w:r>
        <w:r w:rsidR="00500FAE">
          <w:rPr>
            <w:noProof/>
            <w:webHidden/>
          </w:rPr>
          <w:fldChar w:fldCharType="begin"/>
        </w:r>
        <w:r w:rsidR="00500FAE">
          <w:rPr>
            <w:noProof/>
            <w:webHidden/>
          </w:rPr>
          <w:instrText xml:space="preserve"> PAGEREF _Toc402441354 \h </w:instrText>
        </w:r>
        <w:r w:rsidR="00500FAE">
          <w:rPr>
            <w:noProof/>
            <w:webHidden/>
          </w:rPr>
        </w:r>
        <w:r w:rsidR="00500FAE">
          <w:rPr>
            <w:noProof/>
            <w:webHidden/>
          </w:rPr>
          <w:fldChar w:fldCharType="separate"/>
        </w:r>
        <w:r w:rsidR="004E469D">
          <w:rPr>
            <w:noProof/>
            <w:webHidden/>
          </w:rPr>
          <w:t>2</w:t>
        </w:r>
        <w:r w:rsidR="00500FAE">
          <w:rPr>
            <w:noProof/>
            <w:webHidden/>
          </w:rPr>
          <w:fldChar w:fldCharType="end"/>
        </w:r>
      </w:hyperlink>
    </w:p>
    <w:p w14:paraId="593C7E23" w14:textId="77777777" w:rsidR="00500FAE" w:rsidRDefault="008A7C19" w:rsidP="00500FAE">
      <w:pPr>
        <w:pStyle w:val="TableofFigures"/>
        <w:tabs>
          <w:tab w:val="left" w:pos="1320"/>
        </w:tabs>
        <w:ind w:left="1134" w:hanging="1134"/>
        <w:contextualSpacing w:val="0"/>
        <w:rPr>
          <w:rFonts w:asciiTheme="minorHAnsi" w:eastAsiaTheme="minorEastAsia" w:hAnsiTheme="minorHAnsi" w:cstheme="minorBidi"/>
          <w:noProof/>
          <w:szCs w:val="22"/>
          <w:lang w:eastAsia="en-AU"/>
        </w:rPr>
      </w:pPr>
      <w:hyperlink w:anchor="_Toc402441355" w:history="1">
        <w:r w:rsidR="00500FAE" w:rsidRPr="00E4600E">
          <w:rPr>
            <w:rStyle w:val="Hyperlink"/>
            <w:noProof/>
          </w:rPr>
          <w:t>Figure 1.2</w:t>
        </w:r>
        <w:r w:rsidR="00500FAE">
          <w:rPr>
            <w:rFonts w:asciiTheme="minorHAnsi" w:eastAsiaTheme="minorEastAsia" w:hAnsiTheme="minorHAnsi" w:cstheme="minorBidi"/>
            <w:noProof/>
            <w:szCs w:val="22"/>
            <w:lang w:eastAsia="en-AU"/>
          </w:rPr>
          <w:tab/>
        </w:r>
        <w:r w:rsidR="00500FAE" w:rsidRPr="00E4600E">
          <w:rPr>
            <w:rStyle w:val="Hyperlink"/>
            <w:noProof/>
          </w:rPr>
          <w:t>Study area</w:t>
        </w:r>
        <w:r w:rsidR="00500FAE">
          <w:rPr>
            <w:noProof/>
            <w:webHidden/>
          </w:rPr>
          <w:tab/>
        </w:r>
        <w:r w:rsidR="00500FAE">
          <w:rPr>
            <w:noProof/>
            <w:webHidden/>
          </w:rPr>
          <w:fldChar w:fldCharType="begin"/>
        </w:r>
        <w:r w:rsidR="00500FAE">
          <w:rPr>
            <w:noProof/>
            <w:webHidden/>
          </w:rPr>
          <w:instrText xml:space="preserve"> PAGEREF _Toc402441355 \h </w:instrText>
        </w:r>
        <w:r w:rsidR="00500FAE">
          <w:rPr>
            <w:noProof/>
            <w:webHidden/>
          </w:rPr>
        </w:r>
        <w:r w:rsidR="00500FAE">
          <w:rPr>
            <w:noProof/>
            <w:webHidden/>
          </w:rPr>
          <w:fldChar w:fldCharType="separate"/>
        </w:r>
        <w:r w:rsidR="004E469D">
          <w:rPr>
            <w:noProof/>
            <w:webHidden/>
          </w:rPr>
          <w:t>7</w:t>
        </w:r>
        <w:r w:rsidR="00500FAE">
          <w:rPr>
            <w:noProof/>
            <w:webHidden/>
          </w:rPr>
          <w:fldChar w:fldCharType="end"/>
        </w:r>
      </w:hyperlink>
    </w:p>
    <w:p w14:paraId="00BFFC14" w14:textId="77777777" w:rsidR="00500FAE" w:rsidRDefault="008A7C19" w:rsidP="00500FAE">
      <w:pPr>
        <w:pStyle w:val="TableofFigures"/>
        <w:tabs>
          <w:tab w:val="left" w:pos="1320"/>
        </w:tabs>
        <w:ind w:left="1134" w:hanging="1134"/>
        <w:contextualSpacing w:val="0"/>
        <w:rPr>
          <w:rFonts w:asciiTheme="minorHAnsi" w:eastAsiaTheme="minorEastAsia" w:hAnsiTheme="minorHAnsi" w:cstheme="minorBidi"/>
          <w:noProof/>
          <w:szCs w:val="22"/>
          <w:lang w:eastAsia="en-AU"/>
        </w:rPr>
      </w:pPr>
      <w:hyperlink w:anchor="_Toc402441356" w:history="1">
        <w:r w:rsidR="00500FAE" w:rsidRPr="00E4600E">
          <w:rPr>
            <w:rStyle w:val="Hyperlink"/>
            <w:noProof/>
          </w:rPr>
          <w:t>Figure 2.1</w:t>
        </w:r>
        <w:r w:rsidR="00500FAE">
          <w:rPr>
            <w:rFonts w:asciiTheme="minorHAnsi" w:eastAsiaTheme="minorEastAsia" w:hAnsiTheme="minorHAnsi" w:cstheme="minorBidi"/>
            <w:noProof/>
            <w:szCs w:val="22"/>
            <w:lang w:eastAsia="en-AU"/>
          </w:rPr>
          <w:tab/>
        </w:r>
        <w:r w:rsidR="00500FAE" w:rsidRPr="00E4600E">
          <w:rPr>
            <w:rStyle w:val="Hyperlink"/>
            <w:noProof/>
          </w:rPr>
          <w:t>Existing vegetation</w:t>
        </w:r>
        <w:r w:rsidR="00500FAE">
          <w:rPr>
            <w:noProof/>
            <w:webHidden/>
          </w:rPr>
          <w:tab/>
        </w:r>
        <w:r w:rsidR="00500FAE">
          <w:rPr>
            <w:noProof/>
            <w:webHidden/>
          </w:rPr>
          <w:fldChar w:fldCharType="begin"/>
        </w:r>
        <w:r w:rsidR="00500FAE">
          <w:rPr>
            <w:noProof/>
            <w:webHidden/>
          </w:rPr>
          <w:instrText xml:space="preserve"> PAGEREF _Toc402441356 \h </w:instrText>
        </w:r>
        <w:r w:rsidR="00500FAE">
          <w:rPr>
            <w:noProof/>
            <w:webHidden/>
          </w:rPr>
        </w:r>
        <w:r w:rsidR="00500FAE">
          <w:rPr>
            <w:noProof/>
            <w:webHidden/>
          </w:rPr>
          <w:fldChar w:fldCharType="separate"/>
        </w:r>
        <w:r w:rsidR="004E469D">
          <w:rPr>
            <w:noProof/>
            <w:webHidden/>
          </w:rPr>
          <w:t>21</w:t>
        </w:r>
        <w:r w:rsidR="00500FAE">
          <w:rPr>
            <w:noProof/>
            <w:webHidden/>
          </w:rPr>
          <w:fldChar w:fldCharType="end"/>
        </w:r>
      </w:hyperlink>
    </w:p>
    <w:p w14:paraId="60364C4D" w14:textId="77777777" w:rsidR="00500FAE" w:rsidRDefault="008A7C19" w:rsidP="00500FAE">
      <w:pPr>
        <w:pStyle w:val="TableofFigures"/>
        <w:tabs>
          <w:tab w:val="left" w:pos="1320"/>
        </w:tabs>
        <w:ind w:left="1134" w:hanging="1134"/>
        <w:contextualSpacing w:val="0"/>
        <w:rPr>
          <w:rFonts w:asciiTheme="minorHAnsi" w:eastAsiaTheme="minorEastAsia" w:hAnsiTheme="minorHAnsi" w:cstheme="minorBidi"/>
          <w:noProof/>
          <w:szCs w:val="22"/>
          <w:lang w:eastAsia="en-AU"/>
        </w:rPr>
      </w:pPr>
      <w:hyperlink w:anchor="_Toc402441357" w:history="1">
        <w:r w:rsidR="00500FAE" w:rsidRPr="00E4600E">
          <w:rPr>
            <w:rStyle w:val="Hyperlink"/>
            <w:noProof/>
          </w:rPr>
          <w:t>Figure 2.2</w:t>
        </w:r>
        <w:r w:rsidR="00500FAE">
          <w:rPr>
            <w:rFonts w:asciiTheme="minorHAnsi" w:eastAsiaTheme="minorEastAsia" w:hAnsiTheme="minorHAnsi" w:cstheme="minorBidi"/>
            <w:noProof/>
            <w:szCs w:val="22"/>
            <w:lang w:eastAsia="en-AU"/>
          </w:rPr>
          <w:tab/>
        </w:r>
        <w:r w:rsidR="00500FAE" w:rsidRPr="00E4600E">
          <w:rPr>
            <w:rStyle w:val="Hyperlink"/>
            <w:noProof/>
          </w:rPr>
          <w:t>EPBC listed vegetation and field survey locations</w:t>
        </w:r>
        <w:r w:rsidR="00500FAE">
          <w:rPr>
            <w:noProof/>
            <w:webHidden/>
          </w:rPr>
          <w:tab/>
        </w:r>
        <w:r w:rsidR="00500FAE">
          <w:rPr>
            <w:noProof/>
            <w:webHidden/>
          </w:rPr>
          <w:fldChar w:fldCharType="begin"/>
        </w:r>
        <w:r w:rsidR="00500FAE">
          <w:rPr>
            <w:noProof/>
            <w:webHidden/>
          </w:rPr>
          <w:instrText xml:space="preserve"> PAGEREF _Toc402441357 \h </w:instrText>
        </w:r>
        <w:r w:rsidR="00500FAE">
          <w:rPr>
            <w:noProof/>
            <w:webHidden/>
          </w:rPr>
        </w:r>
        <w:r w:rsidR="00500FAE">
          <w:rPr>
            <w:noProof/>
            <w:webHidden/>
          </w:rPr>
          <w:fldChar w:fldCharType="separate"/>
        </w:r>
        <w:r w:rsidR="004E469D">
          <w:rPr>
            <w:noProof/>
            <w:webHidden/>
          </w:rPr>
          <w:t>22</w:t>
        </w:r>
        <w:r w:rsidR="00500FAE">
          <w:rPr>
            <w:noProof/>
            <w:webHidden/>
          </w:rPr>
          <w:fldChar w:fldCharType="end"/>
        </w:r>
      </w:hyperlink>
    </w:p>
    <w:p w14:paraId="1E1A194A" w14:textId="77777777" w:rsidR="00500FAE" w:rsidRDefault="008A7C19" w:rsidP="00500FAE">
      <w:pPr>
        <w:pStyle w:val="TableofFigures"/>
        <w:tabs>
          <w:tab w:val="left" w:pos="1320"/>
        </w:tabs>
        <w:ind w:left="1134" w:hanging="1134"/>
        <w:contextualSpacing w:val="0"/>
        <w:rPr>
          <w:rFonts w:asciiTheme="minorHAnsi" w:eastAsiaTheme="minorEastAsia" w:hAnsiTheme="minorHAnsi" w:cstheme="minorBidi"/>
          <w:noProof/>
          <w:szCs w:val="22"/>
          <w:lang w:eastAsia="en-AU"/>
        </w:rPr>
      </w:pPr>
      <w:hyperlink w:anchor="_Toc402441358" w:history="1">
        <w:r w:rsidR="00500FAE" w:rsidRPr="00E4600E">
          <w:rPr>
            <w:rStyle w:val="Hyperlink"/>
            <w:noProof/>
          </w:rPr>
          <w:t>Figure 2.3</w:t>
        </w:r>
        <w:r w:rsidR="00500FAE">
          <w:rPr>
            <w:rFonts w:asciiTheme="minorHAnsi" w:eastAsiaTheme="minorEastAsia" w:hAnsiTheme="minorHAnsi" w:cstheme="minorBidi"/>
            <w:noProof/>
            <w:szCs w:val="22"/>
            <w:lang w:eastAsia="en-AU"/>
          </w:rPr>
          <w:tab/>
        </w:r>
        <w:r w:rsidR="00500FAE" w:rsidRPr="00E4600E">
          <w:rPr>
            <w:rStyle w:val="Hyperlink"/>
            <w:noProof/>
          </w:rPr>
          <w:t>Vegetation communities and condition</w:t>
        </w:r>
        <w:r w:rsidR="00500FAE">
          <w:rPr>
            <w:noProof/>
            <w:webHidden/>
          </w:rPr>
          <w:tab/>
        </w:r>
        <w:r w:rsidR="00500FAE">
          <w:rPr>
            <w:noProof/>
            <w:webHidden/>
          </w:rPr>
          <w:fldChar w:fldCharType="begin"/>
        </w:r>
        <w:r w:rsidR="00500FAE">
          <w:rPr>
            <w:noProof/>
            <w:webHidden/>
          </w:rPr>
          <w:instrText xml:space="preserve"> PAGEREF _Toc402441358 \h </w:instrText>
        </w:r>
        <w:r w:rsidR="00500FAE">
          <w:rPr>
            <w:noProof/>
            <w:webHidden/>
          </w:rPr>
        </w:r>
        <w:r w:rsidR="00500FAE">
          <w:rPr>
            <w:noProof/>
            <w:webHidden/>
          </w:rPr>
          <w:fldChar w:fldCharType="separate"/>
        </w:r>
        <w:r w:rsidR="004E469D">
          <w:rPr>
            <w:noProof/>
            <w:webHidden/>
          </w:rPr>
          <w:t>26</w:t>
        </w:r>
        <w:r w:rsidR="00500FAE">
          <w:rPr>
            <w:noProof/>
            <w:webHidden/>
          </w:rPr>
          <w:fldChar w:fldCharType="end"/>
        </w:r>
      </w:hyperlink>
    </w:p>
    <w:p w14:paraId="6A48FFBA" w14:textId="77777777" w:rsidR="00500FAE" w:rsidRDefault="008A7C19" w:rsidP="00500FAE">
      <w:pPr>
        <w:pStyle w:val="TableofFigures"/>
        <w:tabs>
          <w:tab w:val="left" w:pos="1320"/>
        </w:tabs>
        <w:ind w:left="1134" w:hanging="1134"/>
        <w:contextualSpacing w:val="0"/>
        <w:rPr>
          <w:rFonts w:asciiTheme="minorHAnsi" w:eastAsiaTheme="minorEastAsia" w:hAnsiTheme="minorHAnsi" w:cstheme="minorBidi"/>
          <w:noProof/>
          <w:szCs w:val="22"/>
          <w:lang w:eastAsia="en-AU"/>
        </w:rPr>
      </w:pPr>
      <w:hyperlink w:anchor="_Toc402441359" w:history="1">
        <w:r w:rsidR="00500FAE" w:rsidRPr="00E4600E">
          <w:rPr>
            <w:rStyle w:val="Hyperlink"/>
            <w:noProof/>
          </w:rPr>
          <w:t>Figure 2.4</w:t>
        </w:r>
        <w:r w:rsidR="00500FAE">
          <w:rPr>
            <w:rFonts w:asciiTheme="minorHAnsi" w:eastAsiaTheme="minorEastAsia" w:hAnsiTheme="minorHAnsi" w:cstheme="minorBidi"/>
            <w:noProof/>
            <w:szCs w:val="22"/>
            <w:lang w:eastAsia="en-AU"/>
          </w:rPr>
          <w:tab/>
        </w:r>
        <w:r w:rsidR="00500FAE" w:rsidRPr="00E4600E">
          <w:rPr>
            <w:rStyle w:val="Hyperlink"/>
            <w:noProof/>
          </w:rPr>
          <w:t>Pultenaea parviflora and Marsdenia viridiflora subsp. viridiflora</w:t>
        </w:r>
        <w:r w:rsidR="00500FAE">
          <w:rPr>
            <w:noProof/>
            <w:webHidden/>
          </w:rPr>
          <w:tab/>
        </w:r>
        <w:r w:rsidR="00500FAE">
          <w:rPr>
            <w:noProof/>
            <w:webHidden/>
          </w:rPr>
          <w:fldChar w:fldCharType="begin"/>
        </w:r>
        <w:r w:rsidR="00500FAE">
          <w:rPr>
            <w:noProof/>
            <w:webHidden/>
          </w:rPr>
          <w:instrText xml:space="preserve"> PAGEREF _Toc402441359 \h </w:instrText>
        </w:r>
        <w:r w:rsidR="00500FAE">
          <w:rPr>
            <w:noProof/>
            <w:webHidden/>
          </w:rPr>
        </w:r>
        <w:r w:rsidR="00500FAE">
          <w:rPr>
            <w:noProof/>
            <w:webHidden/>
          </w:rPr>
          <w:fldChar w:fldCharType="separate"/>
        </w:r>
        <w:r w:rsidR="004E469D">
          <w:rPr>
            <w:noProof/>
            <w:webHidden/>
          </w:rPr>
          <w:t>27</w:t>
        </w:r>
        <w:r w:rsidR="00500FAE">
          <w:rPr>
            <w:noProof/>
            <w:webHidden/>
          </w:rPr>
          <w:fldChar w:fldCharType="end"/>
        </w:r>
      </w:hyperlink>
    </w:p>
    <w:p w14:paraId="0D87663A" w14:textId="77777777" w:rsidR="00500FAE" w:rsidRDefault="008A7C19" w:rsidP="00500FAE">
      <w:pPr>
        <w:pStyle w:val="TableofFigures"/>
        <w:tabs>
          <w:tab w:val="left" w:pos="1320"/>
        </w:tabs>
        <w:ind w:left="1134" w:hanging="1134"/>
        <w:contextualSpacing w:val="0"/>
        <w:rPr>
          <w:rFonts w:asciiTheme="minorHAnsi" w:eastAsiaTheme="minorEastAsia" w:hAnsiTheme="minorHAnsi" w:cstheme="minorBidi"/>
          <w:noProof/>
          <w:szCs w:val="22"/>
          <w:lang w:eastAsia="en-AU"/>
        </w:rPr>
      </w:pPr>
      <w:hyperlink w:anchor="_Toc402441360" w:history="1">
        <w:r w:rsidR="00500FAE" w:rsidRPr="00E4600E">
          <w:rPr>
            <w:rStyle w:val="Hyperlink"/>
            <w:noProof/>
          </w:rPr>
          <w:t>Figure 3.1</w:t>
        </w:r>
        <w:r w:rsidR="00500FAE">
          <w:rPr>
            <w:rFonts w:asciiTheme="minorHAnsi" w:eastAsiaTheme="minorEastAsia" w:hAnsiTheme="minorHAnsi" w:cstheme="minorBidi"/>
            <w:noProof/>
            <w:szCs w:val="22"/>
            <w:lang w:eastAsia="en-AU"/>
          </w:rPr>
          <w:tab/>
        </w:r>
        <w:r w:rsidR="00500FAE" w:rsidRPr="00E4600E">
          <w:rPr>
            <w:rStyle w:val="Hyperlink"/>
            <w:noProof/>
          </w:rPr>
          <w:t>Listed and potential historic heritage items within and in proximity to the Commonwealth land at Badgerys Creek</w:t>
        </w:r>
        <w:r w:rsidR="00500FAE">
          <w:rPr>
            <w:noProof/>
            <w:webHidden/>
          </w:rPr>
          <w:tab/>
        </w:r>
        <w:r w:rsidR="00500FAE">
          <w:rPr>
            <w:noProof/>
            <w:webHidden/>
          </w:rPr>
          <w:fldChar w:fldCharType="begin"/>
        </w:r>
        <w:r w:rsidR="00500FAE">
          <w:rPr>
            <w:noProof/>
            <w:webHidden/>
          </w:rPr>
          <w:instrText xml:space="preserve"> PAGEREF _Toc402441360 \h </w:instrText>
        </w:r>
        <w:r w:rsidR="00500FAE">
          <w:rPr>
            <w:noProof/>
            <w:webHidden/>
          </w:rPr>
        </w:r>
        <w:r w:rsidR="00500FAE">
          <w:rPr>
            <w:noProof/>
            <w:webHidden/>
          </w:rPr>
          <w:fldChar w:fldCharType="separate"/>
        </w:r>
        <w:r w:rsidR="004E469D">
          <w:rPr>
            <w:noProof/>
            <w:webHidden/>
          </w:rPr>
          <w:t>42</w:t>
        </w:r>
        <w:r w:rsidR="00500FAE">
          <w:rPr>
            <w:noProof/>
            <w:webHidden/>
          </w:rPr>
          <w:fldChar w:fldCharType="end"/>
        </w:r>
      </w:hyperlink>
    </w:p>
    <w:p w14:paraId="1E6988E1" w14:textId="77777777" w:rsidR="00500FAE" w:rsidRDefault="008A7C19" w:rsidP="00500FAE">
      <w:pPr>
        <w:pStyle w:val="TableofFigures"/>
        <w:tabs>
          <w:tab w:val="left" w:pos="1320"/>
        </w:tabs>
        <w:ind w:left="1134" w:hanging="1134"/>
        <w:contextualSpacing w:val="0"/>
        <w:rPr>
          <w:rFonts w:asciiTheme="minorHAnsi" w:eastAsiaTheme="minorEastAsia" w:hAnsiTheme="minorHAnsi" w:cstheme="minorBidi"/>
          <w:noProof/>
          <w:szCs w:val="22"/>
          <w:lang w:eastAsia="en-AU"/>
        </w:rPr>
      </w:pPr>
      <w:hyperlink w:anchor="_Toc402441361" w:history="1">
        <w:r w:rsidR="00500FAE" w:rsidRPr="00E4600E">
          <w:rPr>
            <w:rStyle w:val="Hyperlink"/>
            <w:noProof/>
          </w:rPr>
          <w:t>Figure 5.1</w:t>
        </w:r>
        <w:r w:rsidR="00500FAE">
          <w:rPr>
            <w:rFonts w:asciiTheme="minorHAnsi" w:eastAsiaTheme="minorEastAsia" w:hAnsiTheme="minorHAnsi" w:cstheme="minorBidi"/>
            <w:noProof/>
            <w:szCs w:val="22"/>
            <w:lang w:eastAsia="en-AU"/>
          </w:rPr>
          <w:tab/>
        </w:r>
        <w:r w:rsidR="00500FAE" w:rsidRPr="00E4600E">
          <w:rPr>
            <w:rStyle w:val="Hyperlink"/>
            <w:noProof/>
          </w:rPr>
          <w:t>Catchments and water quality sampling locations</w:t>
        </w:r>
        <w:r w:rsidR="00500FAE">
          <w:rPr>
            <w:noProof/>
            <w:webHidden/>
          </w:rPr>
          <w:tab/>
        </w:r>
        <w:r w:rsidR="00500FAE">
          <w:rPr>
            <w:noProof/>
            <w:webHidden/>
          </w:rPr>
          <w:fldChar w:fldCharType="begin"/>
        </w:r>
        <w:r w:rsidR="00500FAE">
          <w:rPr>
            <w:noProof/>
            <w:webHidden/>
          </w:rPr>
          <w:instrText xml:space="preserve"> PAGEREF _Toc402441361 \h </w:instrText>
        </w:r>
        <w:r w:rsidR="00500FAE">
          <w:rPr>
            <w:noProof/>
            <w:webHidden/>
          </w:rPr>
        </w:r>
        <w:r w:rsidR="00500FAE">
          <w:rPr>
            <w:noProof/>
            <w:webHidden/>
          </w:rPr>
          <w:fldChar w:fldCharType="separate"/>
        </w:r>
        <w:r w:rsidR="004E469D">
          <w:rPr>
            <w:noProof/>
            <w:webHidden/>
          </w:rPr>
          <w:t>63</w:t>
        </w:r>
        <w:r w:rsidR="00500FAE">
          <w:rPr>
            <w:noProof/>
            <w:webHidden/>
          </w:rPr>
          <w:fldChar w:fldCharType="end"/>
        </w:r>
      </w:hyperlink>
    </w:p>
    <w:p w14:paraId="70A3F570" w14:textId="6F591A46" w:rsidR="00B00D40" w:rsidRDefault="005C6375" w:rsidP="00674AE3">
      <w:pPr>
        <w:pStyle w:val="BodyText"/>
        <w:ind w:left="1134" w:hanging="1134"/>
      </w:pPr>
      <w:r>
        <w:fldChar w:fldCharType="end"/>
      </w:r>
    </w:p>
    <w:p w14:paraId="413F1BD8" w14:textId="77777777" w:rsidR="0088266F" w:rsidRDefault="0088266F" w:rsidP="00FD35EF">
      <w:pPr>
        <w:pStyle w:val="Heading1-NoTOC"/>
        <w:pageBreakBefore w:val="0"/>
      </w:pPr>
      <w:r>
        <w:t>List of Tables</w:t>
      </w:r>
    </w:p>
    <w:p w14:paraId="779EB7DD" w14:textId="77777777" w:rsidR="00CE210B" w:rsidRDefault="005C6375" w:rsidP="00CE210B">
      <w:pPr>
        <w:pStyle w:val="TableofFigures"/>
        <w:tabs>
          <w:tab w:val="left" w:pos="1100"/>
        </w:tabs>
        <w:ind w:left="1134" w:hanging="1134"/>
        <w:contextualSpacing w:val="0"/>
        <w:rPr>
          <w:rFonts w:asciiTheme="minorHAnsi" w:eastAsiaTheme="minorEastAsia" w:hAnsiTheme="minorHAnsi" w:cstheme="minorBidi"/>
          <w:noProof/>
          <w:szCs w:val="22"/>
          <w:lang w:eastAsia="en-AU"/>
        </w:rPr>
      </w:pPr>
      <w:r>
        <w:fldChar w:fldCharType="begin"/>
      </w:r>
      <w:r w:rsidR="0088266F">
        <w:instrText xml:space="preserve"> TOC \h \z \c "Table" </w:instrText>
      </w:r>
      <w:r>
        <w:fldChar w:fldCharType="separate"/>
      </w:r>
      <w:hyperlink w:anchor="_Toc402442832" w:history="1">
        <w:r w:rsidR="00CE210B" w:rsidRPr="003826F5">
          <w:rPr>
            <w:rStyle w:val="Hyperlink"/>
            <w:noProof/>
          </w:rPr>
          <w:t>Table 1.1</w:t>
        </w:r>
        <w:r w:rsidR="00CE210B">
          <w:rPr>
            <w:rFonts w:asciiTheme="minorHAnsi" w:eastAsiaTheme="minorEastAsia" w:hAnsiTheme="minorHAnsi" w:cstheme="minorBidi"/>
            <w:noProof/>
            <w:szCs w:val="22"/>
            <w:lang w:eastAsia="en-AU"/>
          </w:rPr>
          <w:tab/>
        </w:r>
        <w:r w:rsidR="00CE210B" w:rsidRPr="003826F5">
          <w:rPr>
            <w:rStyle w:val="Hyperlink"/>
            <w:noProof/>
          </w:rPr>
          <w:t>Likelihood descriptors</w:t>
        </w:r>
        <w:r w:rsidR="00CE210B">
          <w:rPr>
            <w:noProof/>
            <w:webHidden/>
          </w:rPr>
          <w:tab/>
        </w:r>
        <w:r w:rsidR="00CE210B">
          <w:rPr>
            <w:noProof/>
            <w:webHidden/>
          </w:rPr>
          <w:fldChar w:fldCharType="begin"/>
        </w:r>
        <w:r w:rsidR="00CE210B">
          <w:rPr>
            <w:noProof/>
            <w:webHidden/>
          </w:rPr>
          <w:instrText xml:space="preserve"> PAGEREF _Toc402442832 \h </w:instrText>
        </w:r>
        <w:r w:rsidR="00CE210B">
          <w:rPr>
            <w:noProof/>
            <w:webHidden/>
          </w:rPr>
        </w:r>
        <w:r w:rsidR="00CE210B">
          <w:rPr>
            <w:noProof/>
            <w:webHidden/>
          </w:rPr>
          <w:fldChar w:fldCharType="separate"/>
        </w:r>
        <w:r w:rsidR="004E469D">
          <w:rPr>
            <w:noProof/>
            <w:webHidden/>
          </w:rPr>
          <w:t>8</w:t>
        </w:r>
        <w:r w:rsidR="00CE210B">
          <w:rPr>
            <w:noProof/>
            <w:webHidden/>
          </w:rPr>
          <w:fldChar w:fldCharType="end"/>
        </w:r>
      </w:hyperlink>
    </w:p>
    <w:p w14:paraId="1F0082C9" w14:textId="77777777" w:rsidR="00CE210B" w:rsidRDefault="008A7C19" w:rsidP="00CE210B">
      <w:pPr>
        <w:pStyle w:val="TableofFigures"/>
        <w:tabs>
          <w:tab w:val="left" w:pos="1100"/>
        </w:tabs>
        <w:ind w:left="1134" w:hanging="1134"/>
        <w:contextualSpacing w:val="0"/>
        <w:rPr>
          <w:rFonts w:asciiTheme="minorHAnsi" w:eastAsiaTheme="minorEastAsia" w:hAnsiTheme="minorHAnsi" w:cstheme="minorBidi"/>
          <w:noProof/>
          <w:szCs w:val="22"/>
          <w:lang w:eastAsia="en-AU"/>
        </w:rPr>
      </w:pPr>
      <w:hyperlink w:anchor="_Toc402442833" w:history="1">
        <w:r w:rsidR="00CE210B" w:rsidRPr="003826F5">
          <w:rPr>
            <w:rStyle w:val="Hyperlink"/>
            <w:noProof/>
          </w:rPr>
          <w:t>Table 1.2</w:t>
        </w:r>
        <w:r w:rsidR="00CE210B">
          <w:rPr>
            <w:rFonts w:asciiTheme="minorHAnsi" w:eastAsiaTheme="minorEastAsia" w:hAnsiTheme="minorHAnsi" w:cstheme="minorBidi"/>
            <w:noProof/>
            <w:szCs w:val="22"/>
            <w:lang w:eastAsia="en-AU"/>
          </w:rPr>
          <w:tab/>
        </w:r>
        <w:r w:rsidR="00CE210B" w:rsidRPr="003826F5">
          <w:rPr>
            <w:rStyle w:val="Hyperlink"/>
            <w:noProof/>
          </w:rPr>
          <w:t>Consequence descriptors</w:t>
        </w:r>
        <w:r w:rsidR="00CE210B">
          <w:rPr>
            <w:noProof/>
            <w:webHidden/>
          </w:rPr>
          <w:tab/>
        </w:r>
        <w:r w:rsidR="00CE210B">
          <w:rPr>
            <w:noProof/>
            <w:webHidden/>
          </w:rPr>
          <w:fldChar w:fldCharType="begin"/>
        </w:r>
        <w:r w:rsidR="00CE210B">
          <w:rPr>
            <w:noProof/>
            <w:webHidden/>
          </w:rPr>
          <w:instrText xml:space="preserve"> PAGEREF _Toc402442833 \h </w:instrText>
        </w:r>
        <w:r w:rsidR="00CE210B">
          <w:rPr>
            <w:noProof/>
            <w:webHidden/>
          </w:rPr>
        </w:r>
        <w:r w:rsidR="00CE210B">
          <w:rPr>
            <w:noProof/>
            <w:webHidden/>
          </w:rPr>
          <w:fldChar w:fldCharType="separate"/>
        </w:r>
        <w:r w:rsidR="004E469D">
          <w:rPr>
            <w:noProof/>
            <w:webHidden/>
          </w:rPr>
          <w:t>8</w:t>
        </w:r>
        <w:r w:rsidR="00CE210B">
          <w:rPr>
            <w:noProof/>
            <w:webHidden/>
          </w:rPr>
          <w:fldChar w:fldCharType="end"/>
        </w:r>
      </w:hyperlink>
    </w:p>
    <w:p w14:paraId="71A62944" w14:textId="77777777" w:rsidR="00CE210B" w:rsidRDefault="008A7C19" w:rsidP="00CE210B">
      <w:pPr>
        <w:pStyle w:val="TableofFigures"/>
        <w:tabs>
          <w:tab w:val="left" w:pos="1100"/>
        </w:tabs>
        <w:ind w:left="1134" w:hanging="1134"/>
        <w:contextualSpacing w:val="0"/>
        <w:rPr>
          <w:rFonts w:asciiTheme="minorHAnsi" w:eastAsiaTheme="minorEastAsia" w:hAnsiTheme="minorHAnsi" w:cstheme="minorBidi"/>
          <w:noProof/>
          <w:szCs w:val="22"/>
          <w:lang w:eastAsia="en-AU"/>
        </w:rPr>
      </w:pPr>
      <w:hyperlink w:anchor="_Toc402442834" w:history="1">
        <w:r w:rsidR="00CE210B" w:rsidRPr="003826F5">
          <w:rPr>
            <w:rStyle w:val="Hyperlink"/>
            <w:noProof/>
          </w:rPr>
          <w:t>Table 2.1</w:t>
        </w:r>
        <w:r w:rsidR="00CE210B">
          <w:rPr>
            <w:rFonts w:asciiTheme="minorHAnsi" w:eastAsiaTheme="minorEastAsia" w:hAnsiTheme="minorHAnsi" w:cstheme="minorBidi"/>
            <w:noProof/>
            <w:szCs w:val="22"/>
            <w:lang w:eastAsia="en-AU"/>
          </w:rPr>
          <w:tab/>
        </w:r>
        <w:r w:rsidR="00CE210B" w:rsidRPr="003826F5">
          <w:rPr>
            <w:rStyle w:val="Hyperlink"/>
            <w:noProof/>
          </w:rPr>
          <w:t>Commonwealth guidelines and strategies related to biodiversity conservation</w:t>
        </w:r>
        <w:r w:rsidR="00CE210B">
          <w:rPr>
            <w:noProof/>
            <w:webHidden/>
          </w:rPr>
          <w:tab/>
        </w:r>
        <w:r w:rsidR="00CE210B">
          <w:rPr>
            <w:noProof/>
            <w:webHidden/>
          </w:rPr>
          <w:fldChar w:fldCharType="begin"/>
        </w:r>
        <w:r w:rsidR="00CE210B">
          <w:rPr>
            <w:noProof/>
            <w:webHidden/>
          </w:rPr>
          <w:instrText xml:space="preserve"> PAGEREF _Toc402442834 \h </w:instrText>
        </w:r>
        <w:r w:rsidR="00CE210B">
          <w:rPr>
            <w:noProof/>
            <w:webHidden/>
          </w:rPr>
        </w:r>
        <w:r w:rsidR="00CE210B">
          <w:rPr>
            <w:noProof/>
            <w:webHidden/>
          </w:rPr>
          <w:fldChar w:fldCharType="separate"/>
        </w:r>
        <w:r w:rsidR="004E469D">
          <w:rPr>
            <w:noProof/>
            <w:webHidden/>
          </w:rPr>
          <w:t>15</w:t>
        </w:r>
        <w:r w:rsidR="00CE210B">
          <w:rPr>
            <w:noProof/>
            <w:webHidden/>
          </w:rPr>
          <w:fldChar w:fldCharType="end"/>
        </w:r>
      </w:hyperlink>
    </w:p>
    <w:p w14:paraId="0E8A0427" w14:textId="77777777" w:rsidR="00CE210B" w:rsidRDefault="008A7C19" w:rsidP="00CE210B">
      <w:pPr>
        <w:pStyle w:val="TableofFigures"/>
        <w:tabs>
          <w:tab w:val="left" w:pos="1100"/>
        </w:tabs>
        <w:ind w:left="1134" w:hanging="1134"/>
        <w:contextualSpacing w:val="0"/>
        <w:rPr>
          <w:rFonts w:asciiTheme="minorHAnsi" w:eastAsiaTheme="minorEastAsia" w:hAnsiTheme="minorHAnsi" w:cstheme="minorBidi"/>
          <w:noProof/>
          <w:szCs w:val="22"/>
          <w:lang w:eastAsia="en-AU"/>
        </w:rPr>
      </w:pPr>
      <w:hyperlink w:anchor="_Toc402442835" w:history="1">
        <w:r w:rsidR="00CE210B" w:rsidRPr="003826F5">
          <w:rPr>
            <w:rStyle w:val="Hyperlink"/>
            <w:noProof/>
          </w:rPr>
          <w:t>Table 2.2</w:t>
        </w:r>
        <w:r w:rsidR="00CE210B">
          <w:rPr>
            <w:rFonts w:asciiTheme="minorHAnsi" w:eastAsiaTheme="minorEastAsia" w:hAnsiTheme="minorHAnsi" w:cstheme="minorBidi"/>
            <w:noProof/>
            <w:szCs w:val="22"/>
            <w:lang w:eastAsia="en-AU"/>
          </w:rPr>
          <w:tab/>
        </w:r>
        <w:r w:rsidR="00CE210B" w:rsidRPr="003826F5">
          <w:rPr>
            <w:rStyle w:val="Hyperlink"/>
            <w:noProof/>
          </w:rPr>
          <w:t>EPIs made under the EP&amp;A Act related to biodiversity conservation</w:t>
        </w:r>
        <w:r w:rsidR="00CE210B">
          <w:rPr>
            <w:noProof/>
            <w:webHidden/>
          </w:rPr>
          <w:tab/>
        </w:r>
        <w:r w:rsidR="00CE210B">
          <w:rPr>
            <w:noProof/>
            <w:webHidden/>
          </w:rPr>
          <w:fldChar w:fldCharType="begin"/>
        </w:r>
        <w:r w:rsidR="00CE210B">
          <w:rPr>
            <w:noProof/>
            <w:webHidden/>
          </w:rPr>
          <w:instrText xml:space="preserve"> PAGEREF _Toc402442835 \h </w:instrText>
        </w:r>
        <w:r w:rsidR="00CE210B">
          <w:rPr>
            <w:noProof/>
            <w:webHidden/>
          </w:rPr>
        </w:r>
        <w:r w:rsidR="00CE210B">
          <w:rPr>
            <w:noProof/>
            <w:webHidden/>
          </w:rPr>
          <w:fldChar w:fldCharType="separate"/>
        </w:r>
        <w:r w:rsidR="004E469D">
          <w:rPr>
            <w:noProof/>
            <w:webHidden/>
          </w:rPr>
          <w:t>17</w:t>
        </w:r>
        <w:r w:rsidR="00CE210B">
          <w:rPr>
            <w:noProof/>
            <w:webHidden/>
          </w:rPr>
          <w:fldChar w:fldCharType="end"/>
        </w:r>
      </w:hyperlink>
    </w:p>
    <w:p w14:paraId="5FCDF59A" w14:textId="77777777" w:rsidR="00CE210B" w:rsidRDefault="008A7C19" w:rsidP="00CE210B">
      <w:pPr>
        <w:pStyle w:val="TableofFigures"/>
        <w:tabs>
          <w:tab w:val="left" w:pos="1100"/>
        </w:tabs>
        <w:ind w:left="1134" w:hanging="1134"/>
        <w:contextualSpacing w:val="0"/>
        <w:rPr>
          <w:rFonts w:asciiTheme="minorHAnsi" w:eastAsiaTheme="minorEastAsia" w:hAnsiTheme="minorHAnsi" w:cstheme="minorBidi"/>
          <w:noProof/>
          <w:szCs w:val="22"/>
          <w:lang w:eastAsia="en-AU"/>
        </w:rPr>
      </w:pPr>
      <w:hyperlink w:anchor="_Toc402442836" w:history="1">
        <w:r w:rsidR="00CE210B" w:rsidRPr="003826F5">
          <w:rPr>
            <w:rStyle w:val="Hyperlink"/>
            <w:noProof/>
          </w:rPr>
          <w:t>Table 2.3</w:t>
        </w:r>
        <w:r w:rsidR="00CE210B">
          <w:rPr>
            <w:rFonts w:asciiTheme="minorHAnsi" w:eastAsiaTheme="minorEastAsia" w:hAnsiTheme="minorHAnsi" w:cstheme="minorBidi"/>
            <w:noProof/>
            <w:szCs w:val="22"/>
            <w:lang w:eastAsia="en-AU"/>
          </w:rPr>
          <w:tab/>
        </w:r>
        <w:r w:rsidR="00CE210B" w:rsidRPr="003826F5">
          <w:rPr>
            <w:rStyle w:val="Hyperlink"/>
            <w:noProof/>
          </w:rPr>
          <w:t>Key TSC Act provisions related to biodiversity conservation</w:t>
        </w:r>
        <w:r w:rsidR="00CE210B">
          <w:rPr>
            <w:noProof/>
            <w:webHidden/>
          </w:rPr>
          <w:tab/>
        </w:r>
        <w:r w:rsidR="00CE210B">
          <w:rPr>
            <w:noProof/>
            <w:webHidden/>
          </w:rPr>
          <w:fldChar w:fldCharType="begin"/>
        </w:r>
        <w:r w:rsidR="00CE210B">
          <w:rPr>
            <w:noProof/>
            <w:webHidden/>
          </w:rPr>
          <w:instrText xml:space="preserve"> PAGEREF _Toc402442836 \h </w:instrText>
        </w:r>
        <w:r w:rsidR="00CE210B">
          <w:rPr>
            <w:noProof/>
            <w:webHidden/>
          </w:rPr>
        </w:r>
        <w:r w:rsidR="00CE210B">
          <w:rPr>
            <w:noProof/>
            <w:webHidden/>
          </w:rPr>
          <w:fldChar w:fldCharType="separate"/>
        </w:r>
        <w:r w:rsidR="004E469D">
          <w:rPr>
            <w:noProof/>
            <w:webHidden/>
          </w:rPr>
          <w:t>17</w:t>
        </w:r>
        <w:r w:rsidR="00CE210B">
          <w:rPr>
            <w:noProof/>
            <w:webHidden/>
          </w:rPr>
          <w:fldChar w:fldCharType="end"/>
        </w:r>
      </w:hyperlink>
    </w:p>
    <w:p w14:paraId="7B53FFF1" w14:textId="77777777" w:rsidR="00CE210B" w:rsidRDefault="008A7C19" w:rsidP="00CE210B">
      <w:pPr>
        <w:pStyle w:val="TableofFigures"/>
        <w:tabs>
          <w:tab w:val="left" w:pos="1100"/>
        </w:tabs>
        <w:ind w:left="1134" w:hanging="1134"/>
        <w:contextualSpacing w:val="0"/>
        <w:rPr>
          <w:rFonts w:asciiTheme="minorHAnsi" w:eastAsiaTheme="minorEastAsia" w:hAnsiTheme="minorHAnsi" w:cstheme="minorBidi"/>
          <w:noProof/>
          <w:szCs w:val="22"/>
          <w:lang w:eastAsia="en-AU"/>
        </w:rPr>
      </w:pPr>
      <w:hyperlink w:anchor="_Toc402442837" w:history="1">
        <w:r w:rsidR="00CE210B" w:rsidRPr="003826F5">
          <w:rPr>
            <w:rStyle w:val="Hyperlink"/>
            <w:noProof/>
          </w:rPr>
          <w:t>Table 2.4</w:t>
        </w:r>
        <w:r w:rsidR="00CE210B">
          <w:rPr>
            <w:rFonts w:asciiTheme="minorHAnsi" w:eastAsiaTheme="minorEastAsia" w:hAnsiTheme="minorHAnsi" w:cstheme="minorBidi"/>
            <w:noProof/>
            <w:szCs w:val="22"/>
            <w:lang w:eastAsia="en-AU"/>
          </w:rPr>
          <w:tab/>
        </w:r>
        <w:r w:rsidR="00CE210B" w:rsidRPr="003826F5">
          <w:rPr>
            <w:rStyle w:val="Hyperlink"/>
            <w:noProof/>
          </w:rPr>
          <w:t>NSW guidelines and strategies related to biodiversity conservation</w:t>
        </w:r>
        <w:r w:rsidR="00CE210B">
          <w:rPr>
            <w:noProof/>
            <w:webHidden/>
          </w:rPr>
          <w:tab/>
        </w:r>
        <w:r w:rsidR="00CE210B">
          <w:rPr>
            <w:noProof/>
            <w:webHidden/>
          </w:rPr>
          <w:fldChar w:fldCharType="begin"/>
        </w:r>
        <w:r w:rsidR="00CE210B">
          <w:rPr>
            <w:noProof/>
            <w:webHidden/>
          </w:rPr>
          <w:instrText xml:space="preserve"> PAGEREF _Toc402442837 \h </w:instrText>
        </w:r>
        <w:r w:rsidR="00CE210B">
          <w:rPr>
            <w:noProof/>
            <w:webHidden/>
          </w:rPr>
        </w:r>
        <w:r w:rsidR="00CE210B">
          <w:rPr>
            <w:noProof/>
            <w:webHidden/>
          </w:rPr>
          <w:fldChar w:fldCharType="separate"/>
        </w:r>
        <w:r w:rsidR="004E469D">
          <w:rPr>
            <w:noProof/>
            <w:webHidden/>
          </w:rPr>
          <w:t>18</w:t>
        </w:r>
        <w:r w:rsidR="00CE210B">
          <w:rPr>
            <w:noProof/>
            <w:webHidden/>
          </w:rPr>
          <w:fldChar w:fldCharType="end"/>
        </w:r>
      </w:hyperlink>
    </w:p>
    <w:p w14:paraId="608EA913" w14:textId="77777777" w:rsidR="00CE210B" w:rsidRDefault="008A7C19" w:rsidP="00CE210B">
      <w:pPr>
        <w:pStyle w:val="TableofFigures"/>
        <w:tabs>
          <w:tab w:val="left" w:pos="1100"/>
        </w:tabs>
        <w:ind w:left="1134" w:hanging="1134"/>
        <w:contextualSpacing w:val="0"/>
        <w:rPr>
          <w:rFonts w:asciiTheme="minorHAnsi" w:eastAsiaTheme="minorEastAsia" w:hAnsiTheme="minorHAnsi" w:cstheme="minorBidi"/>
          <w:noProof/>
          <w:szCs w:val="22"/>
          <w:lang w:eastAsia="en-AU"/>
        </w:rPr>
      </w:pPr>
      <w:hyperlink w:anchor="_Toc402442838" w:history="1">
        <w:r w:rsidR="00CE210B" w:rsidRPr="003826F5">
          <w:rPr>
            <w:rStyle w:val="Hyperlink"/>
            <w:noProof/>
          </w:rPr>
          <w:t>Table 2.5</w:t>
        </w:r>
        <w:r w:rsidR="00CE210B">
          <w:rPr>
            <w:rFonts w:asciiTheme="minorHAnsi" w:eastAsiaTheme="minorEastAsia" w:hAnsiTheme="minorHAnsi" w:cstheme="minorBidi"/>
            <w:noProof/>
            <w:szCs w:val="22"/>
            <w:lang w:eastAsia="en-AU"/>
          </w:rPr>
          <w:tab/>
        </w:r>
        <w:r w:rsidR="00CE210B" w:rsidRPr="003826F5">
          <w:rPr>
            <w:rStyle w:val="Hyperlink"/>
            <w:noProof/>
          </w:rPr>
          <w:t>Condition and extent of vegetation communities within the Commonwealth land</w:t>
        </w:r>
        <w:r w:rsidR="00CE210B">
          <w:rPr>
            <w:noProof/>
            <w:webHidden/>
          </w:rPr>
          <w:tab/>
        </w:r>
        <w:r w:rsidR="00CE210B">
          <w:rPr>
            <w:noProof/>
            <w:webHidden/>
          </w:rPr>
          <w:fldChar w:fldCharType="begin"/>
        </w:r>
        <w:r w:rsidR="00CE210B">
          <w:rPr>
            <w:noProof/>
            <w:webHidden/>
          </w:rPr>
          <w:instrText xml:space="preserve"> PAGEREF _Toc402442838 \h </w:instrText>
        </w:r>
        <w:r w:rsidR="00CE210B">
          <w:rPr>
            <w:noProof/>
            <w:webHidden/>
          </w:rPr>
        </w:r>
        <w:r w:rsidR="00CE210B">
          <w:rPr>
            <w:noProof/>
            <w:webHidden/>
          </w:rPr>
          <w:fldChar w:fldCharType="separate"/>
        </w:r>
        <w:r w:rsidR="004E469D">
          <w:rPr>
            <w:noProof/>
            <w:webHidden/>
          </w:rPr>
          <w:t>25</w:t>
        </w:r>
        <w:r w:rsidR="00CE210B">
          <w:rPr>
            <w:noProof/>
            <w:webHidden/>
          </w:rPr>
          <w:fldChar w:fldCharType="end"/>
        </w:r>
      </w:hyperlink>
    </w:p>
    <w:p w14:paraId="5BF926BA" w14:textId="77777777" w:rsidR="00CE210B" w:rsidRDefault="008A7C19" w:rsidP="00CE210B">
      <w:pPr>
        <w:pStyle w:val="TableofFigures"/>
        <w:tabs>
          <w:tab w:val="left" w:pos="1100"/>
        </w:tabs>
        <w:ind w:left="1134" w:hanging="1134"/>
        <w:contextualSpacing w:val="0"/>
        <w:rPr>
          <w:rFonts w:asciiTheme="minorHAnsi" w:eastAsiaTheme="minorEastAsia" w:hAnsiTheme="minorHAnsi" w:cstheme="minorBidi"/>
          <w:noProof/>
          <w:szCs w:val="22"/>
          <w:lang w:eastAsia="en-AU"/>
        </w:rPr>
      </w:pPr>
      <w:hyperlink w:anchor="_Toc402442839" w:history="1">
        <w:r w:rsidR="00CE210B" w:rsidRPr="003826F5">
          <w:rPr>
            <w:rStyle w:val="Hyperlink"/>
            <w:noProof/>
          </w:rPr>
          <w:t>Table 3.1</w:t>
        </w:r>
        <w:r w:rsidR="00CE210B">
          <w:rPr>
            <w:rFonts w:asciiTheme="minorHAnsi" w:eastAsiaTheme="minorEastAsia" w:hAnsiTheme="minorHAnsi" w:cstheme="minorBidi"/>
            <w:noProof/>
            <w:szCs w:val="22"/>
            <w:lang w:eastAsia="en-AU"/>
          </w:rPr>
          <w:tab/>
        </w:r>
        <w:r w:rsidR="00CE210B" w:rsidRPr="003826F5">
          <w:rPr>
            <w:rStyle w:val="Hyperlink"/>
            <w:noProof/>
          </w:rPr>
          <w:t>Commonwealth guidelines and strategies related to historic heritage</w:t>
        </w:r>
        <w:r w:rsidR="00CE210B">
          <w:rPr>
            <w:noProof/>
            <w:webHidden/>
          </w:rPr>
          <w:tab/>
        </w:r>
        <w:r w:rsidR="00CE210B">
          <w:rPr>
            <w:noProof/>
            <w:webHidden/>
          </w:rPr>
          <w:fldChar w:fldCharType="begin"/>
        </w:r>
        <w:r w:rsidR="00CE210B">
          <w:rPr>
            <w:noProof/>
            <w:webHidden/>
          </w:rPr>
          <w:instrText xml:space="preserve"> PAGEREF _Toc402442839 \h </w:instrText>
        </w:r>
        <w:r w:rsidR="00CE210B">
          <w:rPr>
            <w:noProof/>
            <w:webHidden/>
          </w:rPr>
        </w:r>
        <w:r w:rsidR="00CE210B">
          <w:rPr>
            <w:noProof/>
            <w:webHidden/>
          </w:rPr>
          <w:fldChar w:fldCharType="separate"/>
        </w:r>
        <w:r w:rsidR="004E469D">
          <w:rPr>
            <w:noProof/>
            <w:webHidden/>
          </w:rPr>
          <w:t>36</w:t>
        </w:r>
        <w:r w:rsidR="00CE210B">
          <w:rPr>
            <w:noProof/>
            <w:webHidden/>
          </w:rPr>
          <w:fldChar w:fldCharType="end"/>
        </w:r>
      </w:hyperlink>
    </w:p>
    <w:p w14:paraId="004F8BD6" w14:textId="77777777" w:rsidR="00CE210B" w:rsidRDefault="008A7C19" w:rsidP="00CE210B">
      <w:pPr>
        <w:pStyle w:val="TableofFigures"/>
        <w:tabs>
          <w:tab w:val="left" w:pos="1100"/>
        </w:tabs>
        <w:ind w:left="1134" w:hanging="1134"/>
        <w:contextualSpacing w:val="0"/>
        <w:rPr>
          <w:rFonts w:asciiTheme="minorHAnsi" w:eastAsiaTheme="minorEastAsia" w:hAnsiTheme="minorHAnsi" w:cstheme="minorBidi"/>
          <w:noProof/>
          <w:szCs w:val="22"/>
          <w:lang w:eastAsia="en-AU"/>
        </w:rPr>
      </w:pPr>
      <w:hyperlink w:anchor="_Toc402442840" w:history="1">
        <w:r w:rsidR="00CE210B" w:rsidRPr="003826F5">
          <w:rPr>
            <w:rStyle w:val="Hyperlink"/>
            <w:noProof/>
          </w:rPr>
          <w:t>Table 3.2</w:t>
        </w:r>
        <w:r w:rsidR="00CE210B">
          <w:rPr>
            <w:rFonts w:asciiTheme="minorHAnsi" w:eastAsiaTheme="minorEastAsia" w:hAnsiTheme="minorHAnsi" w:cstheme="minorBidi"/>
            <w:noProof/>
            <w:szCs w:val="22"/>
            <w:lang w:eastAsia="en-AU"/>
          </w:rPr>
          <w:tab/>
        </w:r>
        <w:r w:rsidR="00CE210B" w:rsidRPr="003826F5">
          <w:rPr>
            <w:rStyle w:val="Hyperlink"/>
            <w:noProof/>
          </w:rPr>
          <w:t>EPIs made under the EP&amp;A Act related to historic heritage</w:t>
        </w:r>
        <w:r w:rsidR="00CE210B">
          <w:rPr>
            <w:noProof/>
            <w:webHidden/>
          </w:rPr>
          <w:tab/>
        </w:r>
        <w:r w:rsidR="00CE210B">
          <w:rPr>
            <w:noProof/>
            <w:webHidden/>
          </w:rPr>
          <w:fldChar w:fldCharType="begin"/>
        </w:r>
        <w:r w:rsidR="00CE210B">
          <w:rPr>
            <w:noProof/>
            <w:webHidden/>
          </w:rPr>
          <w:instrText xml:space="preserve"> PAGEREF _Toc402442840 \h </w:instrText>
        </w:r>
        <w:r w:rsidR="00CE210B">
          <w:rPr>
            <w:noProof/>
            <w:webHidden/>
          </w:rPr>
        </w:r>
        <w:r w:rsidR="00CE210B">
          <w:rPr>
            <w:noProof/>
            <w:webHidden/>
          </w:rPr>
          <w:fldChar w:fldCharType="separate"/>
        </w:r>
        <w:r w:rsidR="004E469D">
          <w:rPr>
            <w:noProof/>
            <w:webHidden/>
          </w:rPr>
          <w:t>37</w:t>
        </w:r>
        <w:r w:rsidR="00CE210B">
          <w:rPr>
            <w:noProof/>
            <w:webHidden/>
          </w:rPr>
          <w:fldChar w:fldCharType="end"/>
        </w:r>
      </w:hyperlink>
    </w:p>
    <w:p w14:paraId="06B43131" w14:textId="77777777" w:rsidR="00CE210B" w:rsidRDefault="008A7C19" w:rsidP="00CE210B">
      <w:pPr>
        <w:pStyle w:val="TableofFigures"/>
        <w:tabs>
          <w:tab w:val="left" w:pos="1100"/>
        </w:tabs>
        <w:ind w:left="1134" w:hanging="1134"/>
        <w:contextualSpacing w:val="0"/>
        <w:rPr>
          <w:rFonts w:asciiTheme="minorHAnsi" w:eastAsiaTheme="minorEastAsia" w:hAnsiTheme="minorHAnsi" w:cstheme="minorBidi"/>
          <w:noProof/>
          <w:szCs w:val="22"/>
          <w:lang w:eastAsia="en-AU"/>
        </w:rPr>
      </w:pPr>
      <w:hyperlink w:anchor="_Toc402442841" w:history="1">
        <w:r w:rsidR="00CE210B" w:rsidRPr="003826F5">
          <w:rPr>
            <w:rStyle w:val="Hyperlink"/>
            <w:noProof/>
          </w:rPr>
          <w:t>Table 3.3</w:t>
        </w:r>
        <w:r w:rsidR="00CE210B">
          <w:rPr>
            <w:rFonts w:asciiTheme="minorHAnsi" w:eastAsiaTheme="minorEastAsia" w:hAnsiTheme="minorHAnsi" w:cstheme="minorBidi"/>
            <w:noProof/>
            <w:szCs w:val="22"/>
            <w:lang w:eastAsia="en-AU"/>
          </w:rPr>
          <w:tab/>
        </w:r>
        <w:r w:rsidR="00CE210B" w:rsidRPr="003826F5">
          <w:rPr>
            <w:rStyle w:val="Hyperlink"/>
            <w:noProof/>
          </w:rPr>
          <w:t>NSW guidelines and strategies related to historic heritage</w:t>
        </w:r>
        <w:r w:rsidR="00CE210B">
          <w:rPr>
            <w:noProof/>
            <w:webHidden/>
          </w:rPr>
          <w:tab/>
        </w:r>
        <w:r w:rsidR="00CE210B">
          <w:rPr>
            <w:noProof/>
            <w:webHidden/>
          </w:rPr>
          <w:fldChar w:fldCharType="begin"/>
        </w:r>
        <w:r w:rsidR="00CE210B">
          <w:rPr>
            <w:noProof/>
            <w:webHidden/>
          </w:rPr>
          <w:instrText xml:space="preserve"> PAGEREF _Toc402442841 \h </w:instrText>
        </w:r>
        <w:r w:rsidR="00CE210B">
          <w:rPr>
            <w:noProof/>
            <w:webHidden/>
          </w:rPr>
        </w:r>
        <w:r w:rsidR="00CE210B">
          <w:rPr>
            <w:noProof/>
            <w:webHidden/>
          </w:rPr>
          <w:fldChar w:fldCharType="separate"/>
        </w:r>
        <w:r w:rsidR="004E469D">
          <w:rPr>
            <w:noProof/>
            <w:webHidden/>
          </w:rPr>
          <w:t>37</w:t>
        </w:r>
        <w:r w:rsidR="00CE210B">
          <w:rPr>
            <w:noProof/>
            <w:webHidden/>
          </w:rPr>
          <w:fldChar w:fldCharType="end"/>
        </w:r>
      </w:hyperlink>
    </w:p>
    <w:p w14:paraId="49CFCADE" w14:textId="77777777" w:rsidR="00CE210B" w:rsidRDefault="008A7C19" w:rsidP="00CE210B">
      <w:pPr>
        <w:pStyle w:val="TableofFigures"/>
        <w:tabs>
          <w:tab w:val="left" w:pos="1100"/>
        </w:tabs>
        <w:ind w:left="1134" w:hanging="1134"/>
        <w:contextualSpacing w:val="0"/>
        <w:rPr>
          <w:rFonts w:asciiTheme="minorHAnsi" w:eastAsiaTheme="minorEastAsia" w:hAnsiTheme="minorHAnsi" w:cstheme="minorBidi"/>
          <w:noProof/>
          <w:szCs w:val="22"/>
          <w:lang w:eastAsia="en-AU"/>
        </w:rPr>
      </w:pPr>
      <w:hyperlink w:anchor="_Toc402442842" w:history="1">
        <w:r w:rsidR="00CE210B" w:rsidRPr="003826F5">
          <w:rPr>
            <w:rStyle w:val="Hyperlink"/>
            <w:noProof/>
          </w:rPr>
          <w:t>Table 3.4</w:t>
        </w:r>
        <w:r w:rsidR="00CE210B">
          <w:rPr>
            <w:rFonts w:asciiTheme="minorHAnsi" w:eastAsiaTheme="minorEastAsia" w:hAnsiTheme="minorHAnsi" w:cstheme="minorBidi"/>
            <w:noProof/>
            <w:szCs w:val="22"/>
            <w:lang w:eastAsia="en-AU"/>
          </w:rPr>
          <w:tab/>
        </w:r>
        <w:r w:rsidR="00CE210B" w:rsidRPr="003826F5">
          <w:rPr>
            <w:rStyle w:val="Hyperlink"/>
            <w:noProof/>
          </w:rPr>
          <w:t>Heritage items within the Commonwealth land at Badgerys Creek</w:t>
        </w:r>
        <w:r w:rsidR="00CE210B">
          <w:rPr>
            <w:noProof/>
            <w:webHidden/>
          </w:rPr>
          <w:tab/>
        </w:r>
        <w:r w:rsidR="00CE210B">
          <w:rPr>
            <w:noProof/>
            <w:webHidden/>
          </w:rPr>
          <w:fldChar w:fldCharType="begin"/>
        </w:r>
        <w:r w:rsidR="00CE210B">
          <w:rPr>
            <w:noProof/>
            <w:webHidden/>
          </w:rPr>
          <w:instrText xml:space="preserve"> PAGEREF _Toc402442842 \h </w:instrText>
        </w:r>
        <w:r w:rsidR="00CE210B">
          <w:rPr>
            <w:noProof/>
            <w:webHidden/>
          </w:rPr>
        </w:r>
        <w:r w:rsidR="00CE210B">
          <w:rPr>
            <w:noProof/>
            <w:webHidden/>
          </w:rPr>
          <w:fldChar w:fldCharType="separate"/>
        </w:r>
        <w:r w:rsidR="004E469D">
          <w:rPr>
            <w:noProof/>
            <w:webHidden/>
          </w:rPr>
          <w:t>40</w:t>
        </w:r>
        <w:r w:rsidR="00CE210B">
          <w:rPr>
            <w:noProof/>
            <w:webHidden/>
          </w:rPr>
          <w:fldChar w:fldCharType="end"/>
        </w:r>
      </w:hyperlink>
    </w:p>
    <w:p w14:paraId="43A672FE" w14:textId="77777777" w:rsidR="00CE210B" w:rsidRDefault="008A7C19" w:rsidP="00CE210B">
      <w:pPr>
        <w:pStyle w:val="TableofFigures"/>
        <w:tabs>
          <w:tab w:val="left" w:pos="1100"/>
        </w:tabs>
        <w:ind w:left="1134" w:hanging="1134"/>
        <w:contextualSpacing w:val="0"/>
        <w:rPr>
          <w:rFonts w:asciiTheme="minorHAnsi" w:eastAsiaTheme="minorEastAsia" w:hAnsiTheme="minorHAnsi" w:cstheme="minorBidi"/>
          <w:noProof/>
          <w:szCs w:val="22"/>
          <w:lang w:eastAsia="en-AU"/>
        </w:rPr>
      </w:pPr>
      <w:hyperlink w:anchor="_Toc402442843" w:history="1">
        <w:r w:rsidR="00CE210B" w:rsidRPr="003826F5">
          <w:rPr>
            <w:rStyle w:val="Hyperlink"/>
            <w:noProof/>
          </w:rPr>
          <w:t>Table 3.5</w:t>
        </w:r>
        <w:r w:rsidR="00CE210B">
          <w:rPr>
            <w:rFonts w:asciiTheme="minorHAnsi" w:eastAsiaTheme="minorEastAsia" w:hAnsiTheme="minorHAnsi" w:cstheme="minorBidi"/>
            <w:noProof/>
            <w:szCs w:val="22"/>
            <w:lang w:eastAsia="en-AU"/>
          </w:rPr>
          <w:tab/>
        </w:r>
        <w:r w:rsidR="00CE210B" w:rsidRPr="003826F5">
          <w:rPr>
            <w:rStyle w:val="Hyperlink"/>
            <w:noProof/>
          </w:rPr>
          <w:t>Heritage items within the vicinity of the Commonwealth land at Badgerys Creek</w:t>
        </w:r>
        <w:r w:rsidR="00CE210B">
          <w:rPr>
            <w:noProof/>
            <w:webHidden/>
          </w:rPr>
          <w:tab/>
        </w:r>
        <w:r w:rsidR="00CE210B">
          <w:rPr>
            <w:noProof/>
            <w:webHidden/>
          </w:rPr>
          <w:fldChar w:fldCharType="begin"/>
        </w:r>
        <w:r w:rsidR="00CE210B">
          <w:rPr>
            <w:noProof/>
            <w:webHidden/>
          </w:rPr>
          <w:instrText xml:space="preserve"> PAGEREF _Toc402442843 \h </w:instrText>
        </w:r>
        <w:r w:rsidR="00CE210B">
          <w:rPr>
            <w:noProof/>
            <w:webHidden/>
          </w:rPr>
        </w:r>
        <w:r w:rsidR="00CE210B">
          <w:rPr>
            <w:noProof/>
            <w:webHidden/>
          </w:rPr>
          <w:fldChar w:fldCharType="separate"/>
        </w:r>
        <w:r w:rsidR="004E469D">
          <w:rPr>
            <w:noProof/>
            <w:webHidden/>
          </w:rPr>
          <w:t>41</w:t>
        </w:r>
        <w:r w:rsidR="00CE210B">
          <w:rPr>
            <w:noProof/>
            <w:webHidden/>
          </w:rPr>
          <w:fldChar w:fldCharType="end"/>
        </w:r>
      </w:hyperlink>
    </w:p>
    <w:p w14:paraId="63964859" w14:textId="77777777" w:rsidR="00CE210B" w:rsidRDefault="008A7C19" w:rsidP="00CE210B">
      <w:pPr>
        <w:pStyle w:val="TableofFigures"/>
        <w:tabs>
          <w:tab w:val="left" w:pos="1100"/>
        </w:tabs>
        <w:ind w:left="1134" w:hanging="1134"/>
        <w:contextualSpacing w:val="0"/>
        <w:rPr>
          <w:rFonts w:asciiTheme="minorHAnsi" w:eastAsiaTheme="minorEastAsia" w:hAnsiTheme="minorHAnsi" w:cstheme="minorBidi"/>
          <w:noProof/>
          <w:szCs w:val="22"/>
          <w:lang w:eastAsia="en-AU"/>
        </w:rPr>
      </w:pPr>
      <w:hyperlink w:anchor="_Toc402442844" w:history="1">
        <w:r w:rsidR="00CE210B" w:rsidRPr="003826F5">
          <w:rPr>
            <w:rStyle w:val="Hyperlink"/>
            <w:noProof/>
          </w:rPr>
          <w:t>Table 4.1</w:t>
        </w:r>
        <w:r w:rsidR="00CE210B">
          <w:rPr>
            <w:rFonts w:asciiTheme="minorHAnsi" w:eastAsiaTheme="minorEastAsia" w:hAnsiTheme="minorHAnsi" w:cstheme="minorBidi"/>
            <w:noProof/>
            <w:szCs w:val="22"/>
            <w:lang w:eastAsia="en-AU"/>
          </w:rPr>
          <w:tab/>
        </w:r>
        <w:r w:rsidR="00CE210B" w:rsidRPr="003826F5">
          <w:rPr>
            <w:rStyle w:val="Hyperlink"/>
            <w:noProof/>
          </w:rPr>
          <w:t>Commonwealth guidelines and strategies related to Aboriginal heritage</w:t>
        </w:r>
        <w:r w:rsidR="00CE210B">
          <w:rPr>
            <w:noProof/>
            <w:webHidden/>
          </w:rPr>
          <w:tab/>
        </w:r>
        <w:r w:rsidR="00CE210B">
          <w:rPr>
            <w:noProof/>
            <w:webHidden/>
          </w:rPr>
          <w:fldChar w:fldCharType="begin"/>
        </w:r>
        <w:r w:rsidR="00CE210B">
          <w:rPr>
            <w:noProof/>
            <w:webHidden/>
          </w:rPr>
          <w:instrText xml:space="preserve"> PAGEREF _Toc402442844 \h </w:instrText>
        </w:r>
        <w:r w:rsidR="00CE210B">
          <w:rPr>
            <w:noProof/>
            <w:webHidden/>
          </w:rPr>
        </w:r>
        <w:r w:rsidR="00CE210B">
          <w:rPr>
            <w:noProof/>
            <w:webHidden/>
          </w:rPr>
          <w:fldChar w:fldCharType="separate"/>
        </w:r>
        <w:r w:rsidR="004E469D">
          <w:rPr>
            <w:noProof/>
            <w:webHidden/>
          </w:rPr>
          <w:t>49</w:t>
        </w:r>
        <w:r w:rsidR="00CE210B">
          <w:rPr>
            <w:noProof/>
            <w:webHidden/>
          </w:rPr>
          <w:fldChar w:fldCharType="end"/>
        </w:r>
      </w:hyperlink>
    </w:p>
    <w:p w14:paraId="17626284" w14:textId="77777777" w:rsidR="00CE210B" w:rsidRDefault="008A7C19" w:rsidP="00CE210B">
      <w:pPr>
        <w:pStyle w:val="TableofFigures"/>
        <w:tabs>
          <w:tab w:val="left" w:pos="1100"/>
        </w:tabs>
        <w:ind w:left="1134" w:hanging="1134"/>
        <w:contextualSpacing w:val="0"/>
        <w:rPr>
          <w:rFonts w:asciiTheme="minorHAnsi" w:eastAsiaTheme="minorEastAsia" w:hAnsiTheme="minorHAnsi" w:cstheme="minorBidi"/>
          <w:noProof/>
          <w:szCs w:val="22"/>
          <w:lang w:eastAsia="en-AU"/>
        </w:rPr>
      </w:pPr>
      <w:hyperlink w:anchor="_Toc402442845" w:history="1">
        <w:r w:rsidR="00CE210B" w:rsidRPr="003826F5">
          <w:rPr>
            <w:rStyle w:val="Hyperlink"/>
            <w:noProof/>
          </w:rPr>
          <w:t>Table 4.2</w:t>
        </w:r>
        <w:r w:rsidR="00CE210B">
          <w:rPr>
            <w:rFonts w:asciiTheme="minorHAnsi" w:eastAsiaTheme="minorEastAsia" w:hAnsiTheme="minorHAnsi" w:cstheme="minorBidi"/>
            <w:noProof/>
            <w:szCs w:val="22"/>
            <w:lang w:eastAsia="en-AU"/>
          </w:rPr>
          <w:tab/>
        </w:r>
        <w:r w:rsidR="00CE210B" w:rsidRPr="003826F5">
          <w:rPr>
            <w:rStyle w:val="Hyperlink"/>
            <w:noProof/>
          </w:rPr>
          <w:t>NSW guidelines and strategies related to Aboriginal heritage</w:t>
        </w:r>
        <w:r w:rsidR="00CE210B">
          <w:rPr>
            <w:noProof/>
            <w:webHidden/>
          </w:rPr>
          <w:tab/>
        </w:r>
        <w:r w:rsidR="00CE210B">
          <w:rPr>
            <w:noProof/>
            <w:webHidden/>
          </w:rPr>
          <w:fldChar w:fldCharType="begin"/>
        </w:r>
        <w:r w:rsidR="00CE210B">
          <w:rPr>
            <w:noProof/>
            <w:webHidden/>
          </w:rPr>
          <w:instrText xml:space="preserve"> PAGEREF _Toc402442845 \h </w:instrText>
        </w:r>
        <w:r w:rsidR="00CE210B">
          <w:rPr>
            <w:noProof/>
            <w:webHidden/>
          </w:rPr>
        </w:r>
        <w:r w:rsidR="00CE210B">
          <w:rPr>
            <w:noProof/>
            <w:webHidden/>
          </w:rPr>
          <w:fldChar w:fldCharType="separate"/>
        </w:r>
        <w:r w:rsidR="004E469D">
          <w:rPr>
            <w:noProof/>
            <w:webHidden/>
          </w:rPr>
          <w:t>50</w:t>
        </w:r>
        <w:r w:rsidR="00CE210B">
          <w:rPr>
            <w:noProof/>
            <w:webHidden/>
          </w:rPr>
          <w:fldChar w:fldCharType="end"/>
        </w:r>
      </w:hyperlink>
    </w:p>
    <w:p w14:paraId="346A0FCF" w14:textId="77777777" w:rsidR="00CE210B" w:rsidRDefault="008A7C19" w:rsidP="00CE210B">
      <w:pPr>
        <w:pStyle w:val="TableofFigures"/>
        <w:tabs>
          <w:tab w:val="left" w:pos="1100"/>
        </w:tabs>
        <w:ind w:left="1134" w:hanging="1134"/>
        <w:contextualSpacing w:val="0"/>
        <w:rPr>
          <w:rFonts w:asciiTheme="minorHAnsi" w:eastAsiaTheme="minorEastAsia" w:hAnsiTheme="minorHAnsi" w:cstheme="minorBidi"/>
          <w:noProof/>
          <w:szCs w:val="22"/>
          <w:lang w:eastAsia="en-AU"/>
        </w:rPr>
      </w:pPr>
      <w:hyperlink w:anchor="_Toc402442846" w:history="1">
        <w:r w:rsidR="00CE210B" w:rsidRPr="003826F5">
          <w:rPr>
            <w:rStyle w:val="Hyperlink"/>
            <w:noProof/>
          </w:rPr>
          <w:t>Table 5.1</w:t>
        </w:r>
        <w:r w:rsidR="00CE210B">
          <w:rPr>
            <w:rFonts w:asciiTheme="minorHAnsi" w:eastAsiaTheme="minorEastAsia" w:hAnsiTheme="minorHAnsi" w:cstheme="minorBidi"/>
            <w:noProof/>
            <w:szCs w:val="22"/>
            <w:lang w:eastAsia="en-AU"/>
          </w:rPr>
          <w:tab/>
        </w:r>
        <w:r w:rsidR="00CE210B" w:rsidRPr="003826F5">
          <w:rPr>
            <w:rStyle w:val="Hyperlink"/>
            <w:noProof/>
          </w:rPr>
          <w:t>EPIs made under the EP&amp;A Act related to hydrology and water resources</w:t>
        </w:r>
        <w:r w:rsidR="00CE210B">
          <w:rPr>
            <w:noProof/>
            <w:webHidden/>
          </w:rPr>
          <w:tab/>
        </w:r>
        <w:r w:rsidR="00CE210B">
          <w:rPr>
            <w:noProof/>
            <w:webHidden/>
          </w:rPr>
          <w:fldChar w:fldCharType="begin"/>
        </w:r>
        <w:r w:rsidR="00CE210B">
          <w:rPr>
            <w:noProof/>
            <w:webHidden/>
          </w:rPr>
          <w:instrText xml:space="preserve"> PAGEREF _Toc402442846 \h </w:instrText>
        </w:r>
        <w:r w:rsidR="00CE210B">
          <w:rPr>
            <w:noProof/>
            <w:webHidden/>
          </w:rPr>
        </w:r>
        <w:r w:rsidR="00CE210B">
          <w:rPr>
            <w:noProof/>
            <w:webHidden/>
          </w:rPr>
          <w:fldChar w:fldCharType="separate"/>
        </w:r>
        <w:r w:rsidR="004E469D">
          <w:rPr>
            <w:noProof/>
            <w:webHidden/>
          </w:rPr>
          <w:t>61</w:t>
        </w:r>
        <w:r w:rsidR="00CE210B">
          <w:rPr>
            <w:noProof/>
            <w:webHidden/>
          </w:rPr>
          <w:fldChar w:fldCharType="end"/>
        </w:r>
      </w:hyperlink>
    </w:p>
    <w:p w14:paraId="63ED5855" w14:textId="77777777" w:rsidR="00CE210B" w:rsidRDefault="008A7C19" w:rsidP="00CE210B">
      <w:pPr>
        <w:pStyle w:val="TableofFigures"/>
        <w:tabs>
          <w:tab w:val="left" w:pos="1100"/>
        </w:tabs>
        <w:ind w:left="1134" w:hanging="1134"/>
        <w:contextualSpacing w:val="0"/>
        <w:rPr>
          <w:rFonts w:asciiTheme="minorHAnsi" w:eastAsiaTheme="minorEastAsia" w:hAnsiTheme="minorHAnsi" w:cstheme="minorBidi"/>
          <w:noProof/>
          <w:szCs w:val="22"/>
          <w:lang w:eastAsia="en-AU"/>
        </w:rPr>
      </w:pPr>
      <w:hyperlink w:anchor="_Toc402442847" w:history="1">
        <w:r w:rsidR="00CE210B" w:rsidRPr="003826F5">
          <w:rPr>
            <w:rStyle w:val="Hyperlink"/>
            <w:noProof/>
          </w:rPr>
          <w:t>Table 5.2</w:t>
        </w:r>
        <w:r w:rsidR="00CE210B">
          <w:rPr>
            <w:rFonts w:asciiTheme="minorHAnsi" w:eastAsiaTheme="minorEastAsia" w:hAnsiTheme="minorHAnsi" w:cstheme="minorBidi"/>
            <w:noProof/>
            <w:szCs w:val="22"/>
            <w:lang w:eastAsia="en-AU"/>
          </w:rPr>
          <w:tab/>
        </w:r>
        <w:r w:rsidR="00CE210B" w:rsidRPr="003826F5">
          <w:rPr>
            <w:rStyle w:val="Hyperlink"/>
            <w:noProof/>
          </w:rPr>
          <w:t>NSW guidelines and strategies related to hydrology and water resources</w:t>
        </w:r>
        <w:r w:rsidR="00CE210B">
          <w:rPr>
            <w:noProof/>
            <w:webHidden/>
          </w:rPr>
          <w:tab/>
        </w:r>
        <w:r w:rsidR="00CE210B">
          <w:rPr>
            <w:noProof/>
            <w:webHidden/>
          </w:rPr>
          <w:fldChar w:fldCharType="begin"/>
        </w:r>
        <w:r w:rsidR="00CE210B">
          <w:rPr>
            <w:noProof/>
            <w:webHidden/>
          </w:rPr>
          <w:instrText xml:space="preserve"> PAGEREF _Toc402442847 \h </w:instrText>
        </w:r>
        <w:r w:rsidR="00CE210B">
          <w:rPr>
            <w:noProof/>
            <w:webHidden/>
          </w:rPr>
        </w:r>
        <w:r w:rsidR="00CE210B">
          <w:rPr>
            <w:noProof/>
            <w:webHidden/>
          </w:rPr>
          <w:fldChar w:fldCharType="separate"/>
        </w:r>
        <w:r w:rsidR="004E469D">
          <w:rPr>
            <w:noProof/>
            <w:webHidden/>
          </w:rPr>
          <w:t>61</w:t>
        </w:r>
        <w:r w:rsidR="00CE210B">
          <w:rPr>
            <w:noProof/>
            <w:webHidden/>
          </w:rPr>
          <w:fldChar w:fldCharType="end"/>
        </w:r>
      </w:hyperlink>
    </w:p>
    <w:p w14:paraId="23629071" w14:textId="77777777" w:rsidR="00CE210B" w:rsidRDefault="008A7C19" w:rsidP="00CE210B">
      <w:pPr>
        <w:pStyle w:val="TableofFigures"/>
        <w:tabs>
          <w:tab w:val="left" w:pos="1100"/>
        </w:tabs>
        <w:ind w:left="1134" w:hanging="1134"/>
        <w:contextualSpacing w:val="0"/>
        <w:rPr>
          <w:rFonts w:asciiTheme="minorHAnsi" w:eastAsiaTheme="minorEastAsia" w:hAnsiTheme="minorHAnsi" w:cstheme="minorBidi"/>
          <w:noProof/>
          <w:szCs w:val="22"/>
          <w:lang w:eastAsia="en-AU"/>
        </w:rPr>
      </w:pPr>
      <w:hyperlink w:anchor="_Toc402442848" w:history="1">
        <w:r w:rsidR="00CE210B" w:rsidRPr="003826F5">
          <w:rPr>
            <w:rStyle w:val="Hyperlink"/>
            <w:noProof/>
          </w:rPr>
          <w:t>Table 5.3</w:t>
        </w:r>
        <w:r w:rsidR="00CE210B">
          <w:rPr>
            <w:rFonts w:asciiTheme="minorHAnsi" w:eastAsiaTheme="minorEastAsia" w:hAnsiTheme="minorHAnsi" w:cstheme="minorBidi"/>
            <w:noProof/>
            <w:szCs w:val="22"/>
            <w:lang w:eastAsia="en-AU"/>
          </w:rPr>
          <w:tab/>
        </w:r>
        <w:r w:rsidR="00CE210B" w:rsidRPr="003826F5">
          <w:rPr>
            <w:rStyle w:val="Hyperlink"/>
            <w:noProof/>
          </w:rPr>
          <w:t>Previous water quality sampling</w:t>
        </w:r>
        <w:r w:rsidR="00CE210B">
          <w:rPr>
            <w:noProof/>
            <w:webHidden/>
          </w:rPr>
          <w:tab/>
        </w:r>
        <w:r w:rsidR="00CE210B">
          <w:rPr>
            <w:noProof/>
            <w:webHidden/>
          </w:rPr>
          <w:fldChar w:fldCharType="begin"/>
        </w:r>
        <w:r w:rsidR="00CE210B">
          <w:rPr>
            <w:noProof/>
            <w:webHidden/>
          </w:rPr>
          <w:instrText xml:space="preserve"> PAGEREF _Toc402442848 \h </w:instrText>
        </w:r>
        <w:r w:rsidR="00CE210B">
          <w:rPr>
            <w:noProof/>
            <w:webHidden/>
          </w:rPr>
        </w:r>
        <w:r w:rsidR="00CE210B">
          <w:rPr>
            <w:noProof/>
            <w:webHidden/>
          </w:rPr>
          <w:fldChar w:fldCharType="separate"/>
        </w:r>
        <w:r w:rsidR="004E469D">
          <w:rPr>
            <w:noProof/>
            <w:webHidden/>
          </w:rPr>
          <w:t>62</w:t>
        </w:r>
        <w:r w:rsidR="00CE210B">
          <w:rPr>
            <w:noProof/>
            <w:webHidden/>
          </w:rPr>
          <w:fldChar w:fldCharType="end"/>
        </w:r>
      </w:hyperlink>
    </w:p>
    <w:p w14:paraId="174C178B" w14:textId="77777777" w:rsidR="00CE210B" w:rsidRDefault="008A7C19" w:rsidP="00CE210B">
      <w:pPr>
        <w:pStyle w:val="TableofFigures"/>
        <w:tabs>
          <w:tab w:val="left" w:pos="1100"/>
        </w:tabs>
        <w:ind w:left="1134" w:hanging="1134"/>
        <w:contextualSpacing w:val="0"/>
        <w:rPr>
          <w:rFonts w:asciiTheme="minorHAnsi" w:eastAsiaTheme="minorEastAsia" w:hAnsiTheme="minorHAnsi" w:cstheme="minorBidi"/>
          <w:noProof/>
          <w:szCs w:val="22"/>
          <w:lang w:eastAsia="en-AU"/>
        </w:rPr>
      </w:pPr>
      <w:hyperlink w:anchor="_Toc402442849" w:history="1">
        <w:r w:rsidR="00CE210B" w:rsidRPr="003826F5">
          <w:rPr>
            <w:rStyle w:val="Hyperlink"/>
            <w:noProof/>
          </w:rPr>
          <w:t>Table 6.1</w:t>
        </w:r>
        <w:r w:rsidR="00CE210B">
          <w:rPr>
            <w:rFonts w:asciiTheme="minorHAnsi" w:eastAsiaTheme="minorEastAsia" w:hAnsiTheme="minorHAnsi" w:cstheme="minorBidi"/>
            <w:noProof/>
            <w:szCs w:val="22"/>
            <w:lang w:eastAsia="en-AU"/>
          </w:rPr>
          <w:tab/>
        </w:r>
        <w:r w:rsidR="00CE210B" w:rsidRPr="003826F5">
          <w:rPr>
            <w:rStyle w:val="Hyperlink"/>
            <w:noProof/>
          </w:rPr>
          <w:t>Greater Blue Mountains Area WHL/NHL listing</w:t>
        </w:r>
        <w:r w:rsidR="00CE210B">
          <w:rPr>
            <w:noProof/>
            <w:webHidden/>
          </w:rPr>
          <w:tab/>
        </w:r>
        <w:r w:rsidR="00CE210B">
          <w:rPr>
            <w:noProof/>
            <w:webHidden/>
          </w:rPr>
          <w:fldChar w:fldCharType="begin"/>
        </w:r>
        <w:r w:rsidR="00CE210B">
          <w:rPr>
            <w:noProof/>
            <w:webHidden/>
          </w:rPr>
          <w:instrText xml:space="preserve"> PAGEREF _Toc402442849 \h </w:instrText>
        </w:r>
        <w:r w:rsidR="00CE210B">
          <w:rPr>
            <w:noProof/>
            <w:webHidden/>
          </w:rPr>
        </w:r>
        <w:r w:rsidR="00CE210B">
          <w:rPr>
            <w:noProof/>
            <w:webHidden/>
          </w:rPr>
          <w:fldChar w:fldCharType="separate"/>
        </w:r>
        <w:r w:rsidR="004E469D">
          <w:rPr>
            <w:noProof/>
            <w:webHidden/>
          </w:rPr>
          <w:t>72</w:t>
        </w:r>
        <w:r w:rsidR="00CE210B">
          <w:rPr>
            <w:noProof/>
            <w:webHidden/>
          </w:rPr>
          <w:fldChar w:fldCharType="end"/>
        </w:r>
      </w:hyperlink>
    </w:p>
    <w:p w14:paraId="2F9451B2" w14:textId="0D5D3E37" w:rsidR="00C732E7" w:rsidRDefault="005C6375" w:rsidP="00674AE3">
      <w:pPr>
        <w:pStyle w:val="Heading1-NoTOC"/>
        <w:spacing w:before="120" w:after="0"/>
        <w:ind w:left="1134" w:hanging="1134"/>
      </w:pPr>
      <w:r>
        <w:fldChar w:fldCharType="end"/>
      </w:r>
      <w:bookmarkStart w:id="2" w:name="_Toc311706978"/>
      <w:bookmarkStart w:id="3" w:name="_Toc317520396"/>
      <w:bookmarkStart w:id="4" w:name="_Ref317579107"/>
      <w:r w:rsidR="00C732E7" w:rsidRPr="006E338D">
        <w:t>Abbreviations</w:t>
      </w:r>
      <w:r w:rsidR="00C732E7">
        <w:t xml:space="preserve"> and Acronyms</w:t>
      </w:r>
      <w:bookmarkEnd w:id="2"/>
    </w:p>
    <w:tbl>
      <w:tblPr>
        <w:tblStyle w:val="TableGrid"/>
        <w:tblW w:w="9180" w:type="dxa"/>
        <w:tblBorders>
          <w:bottom w:val="single" w:sz="4" w:space="0" w:color="auto"/>
        </w:tblBorders>
        <w:tblLook w:val="04A0" w:firstRow="1" w:lastRow="0" w:firstColumn="1" w:lastColumn="0" w:noHBand="0" w:noVBand="1"/>
        <w:tblCaption w:val="Abbreviations and acronyms"/>
        <w:tblDescription w:val="Abbreviations and acronyms"/>
      </w:tblPr>
      <w:tblGrid>
        <w:gridCol w:w="2093"/>
        <w:gridCol w:w="7087"/>
      </w:tblGrid>
      <w:tr w:rsidR="00E47F27" w:rsidRPr="0041025C" w14:paraId="1A8F1215" w14:textId="77777777" w:rsidTr="00E954ED">
        <w:trPr>
          <w:trHeight w:val="340"/>
          <w:tblHeader/>
        </w:trPr>
        <w:tc>
          <w:tcPr>
            <w:tcW w:w="2093" w:type="dxa"/>
          </w:tcPr>
          <w:p w14:paraId="20754F7A" w14:textId="77777777" w:rsidR="00E47F27" w:rsidRPr="0041025C" w:rsidRDefault="00E47F27" w:rsidP="00806F5D">
            <w:pPr>
              <w:pStyle w:val="TableHeader"/>
            </w:pPr>
            <w:r>
              <w:t>Abbreviation/ Acronym</w:t>
            </w:r>
          </w:p>
        </w:tc>
        <w:tc>
          <w:tcPr>
            <w:tcW w:w="7087" w:type="dxa"/>
            <w:vAlign w:val="center"/>
          </w:tcPr>
          <w:p w14:paraId="4F76C5CC" w14:textId="77777777" w:rsidR="00E47F27" w:rsidRPr="0041025C" w:rsidRDefault="00E47F27" w:rsidP="00F817AA">
            <w:pPr>
              <w:pStyle w:val="TableHeader"/>
            </w:pPr>
            <w:r>
              <w:t>Description</w:t>
            </w:r>
          </w:p>
        </w:tc>
      </w:tr>
      <w:tr w:rsidR="004C53E8" w:rsidRPr="00F06DBB" w14:paraId="0CBC82DF" w14:textId="77777777" w:rsidTr="00273E7D">
        <w:trPr>
          <w:trHeight w:val="340"/>
        </w:trPr>
        <w:tc>
          <w:tcPr>
            <w:tcW w:w="2093" w:type="dxa"/>
          </w:tcPr>
          <w:p w14:paraId="2E6D6976" w14:textId="77777777" w:rsidR="004C53E8" w:rsidRDefault="004C53E8" w:rsidP="00273E7D">
            <w:pPr>
              <w:pStyle w:val="TableBody"/>
            </w:pPr>
            <w:r>
              <w:t>ADWG</w:t>
            </w:r>
          </w:p>
        </w:tc>
        <w:tc>
          <w:tcPr>
            <w:tcW w:w="7087" w:type="dxa"/>
          </w:tcPr>
          <w:p w14:paraId="36739F8C" w14:textId="77777777" w:rsidR="004C53E8" w:rsidRPr="004C53E8" w:rsidRDefault="004C53E8" w:rsidP="00273E7D">
            <w:pPr>
              <w:pStyle w:val="TableBody"/>
            </w:pPr>
            <w:r w:rsidRPr="004C53E8">
              <w:t>Australian Drinking Water Guidelines</w:t>
            </w:r>
            <w:r>
              <w:t xml:space="preserve"> (2011, updated December 2013)</w:t>
            </w:r>
          </w:p>
        </w:tc>
      </w:tr>
      <w:tr w:rsidR="008072EE" w:rsidRPr="00F06DBB" w14:paraId="3DF4DF53" w14:textId="77777777" w:rsidTr="00E954ED">
        <w:trPr>
          <w:trHeight w:val="340"/>
        </w:trPr>
        <w:tc>
          <w:tcPr>
            <w:tcW w:w="2093" w:type="dxa"/>
          </w:tcPr>
          <w:p w14:paraId="6D77E3B5" w14:textId="77777777" w:rsidR="008072EE" w:rsidRDefault="008072EE" w:rsidP="00F923EB">
            <w:pPr>
              <w:pStyle w:val="TableBody"/>
            </w:pPr>
            <w:r>
              <w:t>AHC Act</w:t>
            </w:r>
          </w:p>
        </w:tc>
        <w:tc>
          <w:tcPr>
            <w:tcW w:w="7087" w:type="dxa"/>
          </w:tcPr>
          <w:p w14:paraId="2B6788B9" w14:textId="1A24189F" w:rsidR="008072EE" w:rsidRPr="00C97A3B" w:rsidRDefault="008072EE" w:rsidP="00EB5EBE">
            <w:pPr>
              <w:pStyle w:val="TableBody"/>
            </w:pPr>
            <w:r w:rsidRPr="008072EE">
              <w:rPr>
                <w:i/>
              </w:rPr>
              <w:t>Australian Heritage Commission Act 1975</w:t>
            </w:r>
            <w:r w:rsidR="00EB5EBE">
              <w:t xml:space="preserve"> (Commonwealth, ceased operation 1 January 2004)</w:t>
            </w:r>
          </w:p>
        </w:tc>
      </w:tr>
      <w:tr w:rsidR="00221731" w:rsidRPr="00F06DBB" w14:paraId="7FF0DA85" w14:textId="77777777" w:rsidTr="00E954ED">
        <w:trPr>
          <w:trHeight w:val="340"/>
        </w:trPr>
        <w:tc>
          <w:tcPr>
            <w:tcW w:w="2093" w:type="dxa"/>
          </w:tcPr>
          <w:p w14:paraId="1B6E9B7E" w14:textId="55FC0A0A" w:rsidR="00221731" w:rsidRDefault="00221731" w:rsidP="00F923EB">
            <w:pPr>
              <w:pStyle w:val="TableBody"/>
            </w:pPr>
            <w:r>
              <w:t>AHIMS</w:t>
            </w:r>
          </w:p>
        </w:tc>
        <w:tc>
          <w:tcPr>
            <w:tcW w:w="7087" w:type="dxa"/>
          </w:tcPr>
          <w:p w14:paraId="7D4FF82D" w14:textId="69DEDF10" w:rsidR="00221731" w:rsidRPr="00221731" w:rsidRDefault="00221731" w:rsidP="00EB5EBE">
            <w:pPr>
              <w:pStyle w:val="TableBody"/>
            </w:pPr>
            <w:r w:rsidRPr="00221731">
              <w:t>Aboriginal Heritage Information Management System</w:t>
            </w:r>
            <w:r>
              <w:t xml:space="preserve"> (database of recorded Aboriginal heritage sites and places in NSW administered by OEH)</w:t>
            </w:r>
          </w:p>
        </w:tc>
      </w:tr>
      <w:tr w:rsidR="00DD7873" w:rsidRPr="00F06DBB" w14:paraId="79D5E08F" w14:textId="77777777" w:rsidTr="00E954ED">
        <w:trPr>
          <w:trHeight w:val="340"/>
        </w:trPr>
        <w:tc>
          <w:tcPr>
            <w:tcW w:w="2093" w:type="dxa"/>
          </w:tcPr>
          <w:p w14:paraId="7F78965D" w14:textId="1D14D62C" w:rsidR="00DD7873" w:rsidRDefault="00DD7873" w:rsidP="00F923EB">
            <w:pPr>
              <w:pStyle w:val="TableBody"/>
            </w:pPr>
            <w:r>
              <w:t>AHIP</w:t>
            </w:r>
          </w:p>
        </w:tc>
        <w:tc>
          <w:tcPr>
            <w:tcW w:w="7087" w:type="dxa"/>
          </w:tcPr>
          <w:p w14:paraId="502D6DB0" w14:textId="17471D35" w:rsidR="00DD7873" w:rsidRPr="00DD7873" w:rsidRDefault="00DD7873" w:rsidP="00EB5EBE">
            <w:pPr>
              <w:pStyle w:val="TableBody"/>
            </w:pPr>
            <w:r w:rsidRPr="00DD7873">
              <w:t>Aboriginal Heritage Impact Permit</w:t>
            </w:r>
            <w:r>
              <w:t xml:space="preserve"> (an authorisation under the NSW NPW Act to impact on Aboriginal heritage)</w:t>
            </w:r>
          </w:p>
        </w:tc>
      </w:tr>
      <w:tr w:rsidR="009B550A" w:rsidRPr="00F06DBB" w14:paraId="5250FBA5" w14:textId="77777777" w:rsidTr="00E954ED">
        <w:trPr>
          <w:trHeight w:val="340"/>
        </w:trPr>
        <w:tc>
          <w:tcPr>
            <w:tcW w:w="2093" w:type="dxa"/>
          </w:tcPr>
          <w:p w14:paraId="60445186" w14:textId="07D2CFE6" w:rsidR="009B550A" w:rsidRDefault="009B550A" w:rsidP="00F923EB">
            <w:pPr>
              <w:pStyle w:val="TableBody"/>
            </w:pPr>
            <w:r>
              <w:t>ANZECC</w:t>
            </w:r>
          </w:p>
        </w:tc>
        <w:tc>
          <w:tcPr>
            <w:tcW w:w="7087" w:type="dxa"/>
          </w:tcPr>
          <w:p w14:paraId="37F87944" w14:textId="517A1CFD" w:rsidR="009B550A" w:rsidRPr="009B550A" w:rsidRDefault="009B550A" w:rsidP="00EB5EBE">
            <w:pPr>
              <w:pStyle w:val="TableBody"/>
            </w:pPr>
            <w:r>
              <w:t>Australia-New Zealand Environment and Conservation Council</w:t>
            </w:r>
          </w:p>
        </w:tc>
      </w:tr>
      <w:tr w:rsidR="008415E2" w:rsidRPr="00F06DBB" w14:paraId="039E6AFB" w14:textId="77777777" w:rsidTr="00E954ED">
        <w:trPr>
          <w:trHeight w:val="340"/>
        </w:trPr>
        <w:tc>
          <w:tcPr>
            <w:tcW w:w="2093" w:type="dxa"/>
          </w:tcPr>
          <w:p w14:paraId="73F832B5" w14:textId="6F7AE3D1" w:rsidR="008415E2" w:rsidRDefault="008415E2" w:rsidP="00F923EB">
            <w:pPr>
              <w:pStyle w:val="TableBody"/>
            </w:pPr>
            <w:r>
              <w:t>ATSHIP Act</w:t>
            </w:r>
          </w:p>
        </w:tc>
        <w:tc>
          <w:tcPr>
            <w:tcW w:w="7087" w:type="dxa"/>
          </w:tcPr>
          <w:p w14:paraId="13BE3907" w14:textId="07A4BBA3" w:rsidR="008415E2" w:rsidRDefault="008415E2" w:rsidP="00EB5EBE">
            <w:pPr>
              <w:pStyle w:val="TableBody"/>
            </w:pPr>
            <w:r w:rsidRPr="008415E2">
              <w:rPr>
                <w:i/>
              </w:rPr>
              <w:t>Aboriginal and Torres Strait Islander Heritage Protection Act 1984</w:t>
            </w:r>
            <w:r>
              <w:t xml:space="preserve"> (Commonwealth)</w:t>
            </w:r>
          </w:p>
        </w:tc>
      </w:tr>
      <w:tr w:rsidR="003F4061" w:rsidRPr="00F06DBB" w14:paraId="206C57F2" w14:textId="77777777" w:rsidTr="00E954ED">
        <w:trPr>
          <w:trHeight w:val="340"/>
        </w:trPr>
        <w:tc>
          <w:tcPr>
            <w:tcW w:w="2093" w:type="dxa"/>
          </w:tcPr>
          <w:p w14:paraId="1B019801" w14:textId="777690AA" w:rsidR="003F4061" w:rsidRDefault="003F4061" w:rsidP="00F923EB">
            <w:pPr>
              <w:pStyle w:val="TableBody"/>
            </w:pPr>
            <w:r>
              <w:t>CAMBA</w:t>
            </w:r>
          </w:p>
        </w:tc>
        <w:tc>
          <w:tcPr>
            <w:tcW w:w="7087" w:type="dxa"/>
          </w:tcPr>
          <w:p w14:paraId="2731112B" w14:textId="413E7B53" w:rsidR="003F4061" w:rsidRPr="008E5149" w:rsidRDefault="008E5149" w:rsidP="008E5149">
            <w:pPr>
              <w:pStyle w:val="TableBody"/>
            </w:pPr>
            <w:r>
              <w:t>China</w:t>
            </w:r>
            <w:r w:rsidRPr="008E5149">
              <w:t>-Aust</w:t>
            </w:r>
            <w:r>
              <w:t>ralia Migratory Birds Agreement</w:t>
            </w:r>
          </w:p>
        </w:tc>
      </w:tr>
      <w:tr w:rsidR="00C97A3B" w:rsidRPr="00F06DBB" w14:paraId="33B5D319" w14:textId="77777777" w:rsidTr="00E954ED">
        <w:trPr>
          <w:trHeight w:val="340"/>
        </w:trPr>
        <w:tc>
          <w:tcPr>
            <w:tcW w:w="2093" w:type="dxa"/>
          </w:tcPr>
          <w:p w14:paraId="50F3091D" w14:textId="6E73784B" w:rsidR="00C97A3B" w:rsidRDefault="00C97A3B" w:rsidP="00F923EB">
            <w:pPr>
              <w:pStyle w:val="TableBody"/>
            </w:pPr>
            <w:r>
              <w:t>CHL</w:t>
            </w:r>
          </w:p>
        </w:tc>
        <w:tc>
          <w:tcPr>
            <w:tcW w:w="7087" w:type="dxa"/>
          </w:tcPr>
          <w:p w14:paraId="16B187DC" w14:textId="0BCE3371" w:rsidR="00C97A3B" w:rsidRPr="00C97A3B" w:rsidRDefault="00C97A3B" w:rsidP="00F923EB">
            <w:pPr>
              <w:pStyle w:val="TableBody"/>
            </w:pPr>
            <w:r w:rsidRPr="00C97A3B">
              <w:t>Commonwealth Heritage List</w:t>
            </w:r>
          </w:p>
        </w:tc>
      </w:tr>
      <w:tr w:rsidR="00273A1B" w:rsidRPr="00F06DBB" w14:paraId="6D21F9AB" w14:textId="77777777" w:rsidTr="00E954ED">
        <w:trPr>
          <w:trHeight w:val="340"/>
        </w:trPr>
        <w:tc>
          <w:tcPr>
            <w:tcW w:w="2093" w:type="dxa"/>
          </w:tcPr>
          <w:p w14:paraId="5F9CA57B" w14:textId="4B7405AA" w:rsidR="00273A1B" w:rsidRDefault="00273A1B" w:rsidP="00F923EB">
            <w:pPr>
              <w:pStyle w:val="TableBody"/>
            </w:pPr>
            <w:r>
              <w:t>CRC</w:t>
            </w:r>
          </w:p>
        </w:tc>
        <w:tc>
          <w:tcPr>
            <w:tcW w:w="7087" w:type="dxa"/>
          </w:tcPr>
          <w:p w14:paraId="17853A80" w14:textId="670D99E0" w:rsidR="00273A1B" w:rsidRPr="00C97A3B" w:rsidRDefault="00273A1B" w:rsidP="00F923EB">
            <w:pPr>
              <w:pStyle w:val="TableBody"/>
            </w:pPr>
            <w:r w:rsidRPr="00273A1B">
              <w:t>Cooperative Research Centre</w:t>
            </w:r>
          </w:p>
        </w:tc>
      </w:tr>
      <w:tr w:rsidR="00FE55C3" w:rsidRPr="00F06DBB" w14:paraId="0E9B32F2" w14:textId="77777777" w:rsidTr="00E954ED">
        <w:trPr>
          <w:trHeight w:val="340"/>
        </w:trPr>
        <w:tc>
          <w:tcPr>
            <w:tcW w:w="2093" w:type="dxa"/>
          </w:tcPr>
          <w:p w14:paraId="1F35B5B4" w14:textId="72FE213D" w:rsidR="00FE55C3" w:rsidRDefault="00FE55C3" w:rsidP="00F923EB">
            <w:pPr>
              <w:pStyle w:val="TableBody"/>
            </w:pPr>
            <w:r>
              <w:t>DECC</w:t>
            </w:r>
          </w:p>
        </w:tc>
        <w:tc>
          <w:tcPr>
            <w:tcW w:w="7087" w:type="dxa"/>
          </w:tcPr>
          <w:p w14:paraId="6A886BC4" w14:textId="52838F0A" w:rsidR="00FE55C3" w:rsidRPr="00273A1B" w:rsidRDefault="00FE55C3" w:rsidP="00FE55C3">
            <w:pPr>
              <w:pStyle w:val="TableBody"/>
            </w:pPr>
            <w:r w:rsidRPr="00FE55C3">
              <w:t>Dep</w:t>
            </w:r>
            <w:r>
              <w:t>ar</w:t>
            </w:r>
            <w:r w:rsidRPr="00FE55C3">
              <w:t>t</w:t>
            </w:r>
            <w:r>
              <w:t>ment</w:t>
            </w:r>
            <w:r w:rsidRPr="00FE55C3">
              <w:t xml:space="preserve"> of Environment</w:t>
            </w:r>
            <w:r>
              <w:t xml:space="preserve"> and</w:t>
            </w:r>
            <w:r w:rsidRPr="00FE55C3">
              <w:t xml:space="preserve"> Climate Change</w:t>
            </w:r>
            <w:r>
              <w:t xml:space="preserve"> (a precursor agency to the current NSW Office of Environment and Heritage)</w:t>
            </w:r>
          </w:p>
        </w:tc>
      </w:tr>
      <w:tr w:rsidR="00FE55C3" w:rsidRPr="00F06DBB" w14:paraId="7851C8C4" w14:textId="77777777" w:rsidTr="00E954ED">
        <w:trPr>
          <w:trHeight w:val="340"/>
        </w:trPr>
        <w:tc>
          <w:tcPr>
            <w:tcW w:w="2093" w:type="dxa"/>
          </w:tcPr>
          <w:p w14:paraId="4E0D6226" w14:textId="74900AB3" w:rsidR="00FE55C3" w:rsidRDefault="00FE55C3" w:rsidP="00F923EB">
            <w:pPr>
              <w:pStyle w:val="TableBody"/>
            </w:pPr>
            <w:r>
              <w:t>DECCW</w:t>
            </w:r>
          </w:p>
        </w:tc>
        <w:tc>
          <w:tcPr>
            <w:tcW w:w="7087" w:type="dxa"/>
          </w:tcPr>
          <w:p w14:paraId="727B1E99" w14:textId="29C022C5" w:rsidR="00FE55C3" w:rsidRPr="00273A1B" w:rsidRDefault="00FE55C3" w:rsidP="00FE55C3">
            <w:pPr>
              <w:pStyle w:val="TableBody"/>
            </w:pPr>
            <w:r w:rsidRPr="00FE55C3">
              <w:t>Dep</w:t>
            </w:r>
            <w:r>
              <w:t>ar</w:t>
            </w:r>
            <w:r w:rsidRPr="00FE55C3">
              <w:t>t</w:t>
            </w:r>
            <w:r>
              <w:t>ment</w:t>
            </w:r>
            <w:r w:rsidRPr="00FE55C3">
              <w:t xml:space="preserve"> of Environment, Climate Change </w:t>
            </w:r>
            <w:r>
              <w:t>and</w:t>
            </w:r>
            <w:r w:rsidRPr="00FE55C3">
              <w:t xml:space="preserve"> Water</w:t>
            </w:r>
            <w:r>
              <w:t xml:space="preserve"> (a precursor agency to the current NSW Office of Environment and Heritage)</w:t>
            </w:r>
          </w:p>
        </w:tc>
      </w:tr>
      <w:tr w:rsidR="00AA4B81" w:rsidRPr="00F06DBB" w14:paraId="32B32B88" w14:textId="77777777" w:rsidTr="00E954ED">
        <w:trPr>
          <w:trHeight w:val="340"/>
        </w:trPr>
        <w:tc>
          <w:tcPr>
            <w:tcW w:w="2093" w:type="dxa"/>
          </w:tcPr>
          <w:p w14:paraId="4899FEB9" w14:textId="1E99D0F5" w:rsidR="00AA4B81" w:rsidRDefault="00AA4B81" w:rsidP="00F923EB">
            <w:pPr>
              <w:pStyle w:val="TableBody"/>
            </w:pPr>
            <w:r>
              <w:t>DI&amp;RD</w:t>
            </w:r>
          </w:p>
        </w:tc>
        <w:tc>
          <w:tcPr>
            <w:tcW w:w="7087" w:type="dxa"/>
          </w:tcPr>
          <w:p w14:paraId="56CDDD64" w14:textId="1C368361" w:rsidR="00AA4B81" w:rsidRPr="00273A1B" w:rsidRDefault="00AA4B81" w:rsidP="00AA4B81">
            <w:pPr>
              <w:pStyle w:val="TableBody"/>
            </w:pPr>
            <w:r>
              <w:t>Department of Infrastructure and Regional Development (Commonwealth)</w:t>
            </w:r>
          </w:p>
        </w:tc>
      </w:tr>
      <w:tr w:rsidR="00E9218C" w:rsidRPr="00F06DBB" w14:paraId="61596A7C" w14:textId="77777777" w:rsidTr="00E954ED">
        <w:trPr>
          <w:trHeight w:val="340"/>
        </w:trPr>
        <w:tc>
          <w:tcPr>
            <w:tcW w:w="2093" w:type="dxa"/>
          </w:tcPr>
          <w:p w14:paraId="167E64C7" w14:textId="3E56EF03" w:rsidR="00E9218C" w:rsidRDefault="00E9218C" w:rsidP="00F923EB">
            <w:pPr>
              <w:pStyle w:val="TableBody"/>
            </w:pPr>
            <w:r>
              <w:t>DoE</w:t>
            </w:r>
          </w:p>
        </w:tc>
        <w:tc>
          <w:tcPr>
            <w:tcW w:w="7087" w:type="dxa"/>
          </w:tcPr>
          <w:p w14:paraId="09ECED54" w14:textId="5DB7C21C" w:rsidR="00E9218C" w:rsidRPr="00C97A3B" w:rsidRDefault="00E9218C" w:rsidP="00F923EB">
            <w:pPr>
              <w:pStyle w:val="TableBody"/>
            </w:pPr>
            <w:r>
              <w:t>Department of the Environment (Commonwealth)</w:t>
            </w:r>
          </w:p>
        </w:tc>
      </w:tr>
      <w:tr w:rsidR="00E9218C" w:rsidRPr="00F06DBB" w14:paraId="6AF13A8D" w14:textId="77777777" w:rsidTr="00E954ED">
        <w:trPr>
          <w:trHeight w:val="340"/>
        </w:trPr>
        <w:tc>
          <w:tcPr>
            <w:tcW w:w="2093" w:type="dxa"/>
          </w:tcPr>
          <w:p w14:paraId="306544CC" w14:textId="436019F3" w:rsidR="00E9218C" w:rsidRDefault="00E9218C" w:rsidP="00F923EB">
            <w:pPr>
              <w:pStyle w:val="TableBody"/>
            </w:pPr>
            <w:proofErr w:type="spellStart"/>
            <w:r>
              <w:t>DSEWPaC</w:t>
            </w:r>
            <w:proofErr w:type="spellEnd"/>
          </w:p>
        </w:tc>
        <w:tc>
          <w:tcPr>
            <w:tcW w:w="7087" w:type="dxa"/>
          </w:tcPr>
          <w:p w14:paraId="380D227F" w14:textId="22DA753F" w:rsidR="00E9218C" w:rsidRDefault="00E9218C" w:rsidP="00AA4B81">
            <w:pPr>
              <w:pStyle w:val="TableBody"/>
            </w:pPr>
            <w:r>
              <w:t xml:space="preserve">Department of </w:t>
            </w:r>
            <w:r w:rsidR="00AA4B81">
              <w:t>S</w:t>
            </w:r>
            <w:r>
              <w:t>ustainability, Environment, Water, Population and Communities (a precursor agency to the current Commonwealth Department of the Environment)</w:t>
            </w:r>
          </w:p>
        </w:tc>
      </w:tr>
      <w:tr w:rsidR="00E82C51" w:rsidRPr="00F06DBB" w14:paraId="79AD6F62" w14:textId="77777777" w:rsidTr="00E954ED">
        <w:trPr>
          <w:trHeight w:val="340"/>
        </w:trPr>
        <w:tc>
          <w:tcPr>
            <w:tcW w:w="2093" w:type="dxa"/>
          </w:tcPr>
          <w:p w14:paraId="6D3E153C" w14:textId="0D970E46" w:rsidR="00E82C51" w:rsidRDefault="00E82C51" w:rsidP="00E82C51">
            <w:pPr>
              <w:pStyle w:val="TableBody"/>
            </w:pPr>
            <w:r>
              <w:t>EA</w:t>
            </w:r>
          </w:p>
        </w:tc>
        <w:tc>
          <w:tcPr>
            <w:tcW w:w="7087" w:type="dxa"/>
          </w:tcPr>
          <w:p w14:paraId="01C18F91" w14:textId="4EF6D5E2" w:rsidR="00E82C51" w:rsidRPr="00E82C51" w:rsidRDefault="00E82C51" w:rsidP="00E82C51">
            <w:pPr>
              <w:pStyle w:val="TableBody"/>
            </w:pPr>
            <w:r>
              <w:t>Environment Australia</w:t>
            </w:r>
            <w:r w:rsidR="009B550A">
              <w:t xml:space="preserve"> (a precursor agency to the current Commonwealth Department of the Environment)</w:t>
            </w:r>
          </w:p>
        </w:tc>
      </w:tr>
      <w:tr w:rsidR="009B550A" w:rsidRPr="00F06DBB" w14:paraId="2616E96D" w14:textId="77777777" w:rsidTr="00E954ED">
        <w:trPr>
          <w:trHeight w:val="340"/>
        </w:trPr>
        <w:tc>
          <w:tcPr>
            <w:tcW w:w="2093" w:type="dxa"/>
          </w:tcPr>
          <w:p w14:paraId="49E4D3C5" w14:textId="5805D45C" w:rsidR="009B550A" w:rsidRDefault="009B550A" w:rsidP="00E82C51">
            <w:pPr>
              <w:pStyle w:val="TableBody"/>
            </w:pPr>
            <w:r>
              <w:t xml:space="preserve">EIS </w:t>
            </w:r>
          </w:p>
        </w:tc>
        <w:tc>
          <w:tcPr>
            <w:tcW w:w="7087" w:type="dxa"/>
          </w:tcPr>
          <w:p w14:paraId="6A9D0D5F" w14:textId="72B0BE7C" w:rsidR="009B550A" w:rsidRDefault="009B550A" w:rsidP="00E82C51">
            <w:pPr>
              <w:pStyle w:val="TableBody"/>
            </w:pPr>
            <w:r>
              <w:t>Environmental impact statement</w:t>
            </w:r>
          </w:p>
        </w:tc>
      </w:tr>
      <w:tr w:rsidR="00C97A3B" w:rsidRPr="00F06DBB" w14:paraId="5C777940" w14:textId="77777777" w:rsidTr="00E954ED">
        <w:trPr>
          <w:trHeight w:val="340"/>
        </w:trPr>
        <w:tc>
          <w:tcPr>
            <w:tcW w:w="2093" w:type="dxa"/>
          </w:tcPr>
          <w:p w14:paraId="61702731" w14:textId="31BC237A" w:rsidR="00C97A3B" w:rsidRDefault="00C97A3B" w:rsidP="00F923EB">
            <w:pPr>
              <w:pStyle w:val="TableBody"/>
            </w:pPr>
            <w:r>
              <w:t>EP&amp;A Act</w:t>
            </w:r>
          </w:p>
        </w:tc>
        <w:tc>
          <w:tcPr>
            <w:tcW w:w="7087" w:type="dxa"/>
          </w:tcPr>
          <w:p w14:paraId="269C7D16" w14:textId="444A5C6E" w:rsidR="00C97A3B" w:rsidRPr="00C97A3B" w:rsidRDefault="00C97A3B" w:rsidP="00F923EB">
            <w:pPr>
              <w:pStyle w:val="TableBody"/>
            </w:pPr>
            <w:r w:rsidRPr="00C97A3B">
              <w:rPr>
                <w:i/>
              </w:rPr>
              <w:t>Environmental Planning and Assessment Act 1979</w:t>
            </w:r>
            <w:r>
              <w:t xml:space="preserve"> (NSW)</w:t>
            </w:r>
          </w:p>
        </w:tc>
      </w:tr>
      <w:tr w:rsidR="00E47F27" w:rsidRPr="00F06DBB" w14:paraId="12EF5D9B" w14:textId="77777777" w:rsidTr="00E954ED">
        <w:trPr>
          <w:trHeight w:val="340"/>
        </w:trPr>
        <w:tc>
          <w:tcPr>
            <w:tcW w:w="2093" w:type="dxa"/>
          </w:tcPr>
          <w:p w14:paraId="7DB5637A" w14:textId="04F4B790" w:rsidR="00E47F27" w:rsidRPr="00F06DBB" w:rsidRDefault="003A2F9B" w:rsidP="00806F5D">
            <w:pPr>
              <w:pStyle w:val="TableBody"/>
            </w:pPr>
            <w:r>
              <w:t>EPBC Act</w:t>
            </w:r>
          </w:p>
        </w:tc>
        <w:tc>
          <w:tcPr>
            <w:tcW w:w="7087" w:type="dxa"/>
          </w:tcPr>
          <w:p w14:paraId="32B633D6" w14:textId="62C1E8CE" w:rsidR="00E47F27" w:rsidRPr="00F06DBB" w:rsidRDefault="003A2F9B" w:rsidP="009B550A">
            <w:pPr>
              <w:pStyle w:val="TableBody"/>
            </w:pPr>
            <w:r w:rsidRPr="003A2F9B">
              <w:rPr>
                <w:i/>
              </w:rPr>
              <w:t>Environment Protection and Biodiversity Conservation Act 1999</w:t>
            </w:r>
            <w:r>
              <w:t xml:space="preserve"> (Commonwealth</w:t>
            </w:r>
            <w:r w:rsidR="009B550A">
              <w:t xml:space="preserve">, </w:t>
            </w:r>
            <w:r>
              <w:t>c</w:t>
            </w:r>
            <w:r w:rsidR="00C97A3B">
              <w:t>omm</w:t>
            </w:r>
            <w:r w:rsidR="00F817AA">
              <w:t>enced operation on 16 July 2000</w:t>
            </w:r>
            <w:r w:rsidR="009B550A">
              <w:t>)</w:t>
            </w:r>
          </w:p>
        </w:tc>
      </w:tr>
      <w:tr w:rsidR="004678AE" w:rsidRPr="00F06DBB" w14:paraId="0B27321E" w14:textId="77777777" w:rsidTr="00E954ED">
        <w:trPr>
          <w:trHeight w:val="340"/>
        </w:trPr>
        <w:tc>
          <w:tcPr>
            <w:tcW w:w="2093" w:type="dxa"/>
          </w:tcPr>
          <w:p w14:paraId="57CE001E" w14:textId="79BA6FA1" w:rsidR="004678AE" w:rsidRDefault="004678AE" w:rsidP="00806F5D">
            <w:pPr>
              <w:pStyle w:val="TableBody"/>
            </w:pPr>
            <w:r>
              <w:t>EPI</w:t>
            </w:r>
          </w:p>
        </w:tc>
        <w:tc>
          <w:tcPr>
            <w:tcW w:w="7087" w:type="dxa"/>
          </w:tcPr>
          <w:p w14:paraId="14E75EA9" w14:textId="48175C35" w:rsidR="004678AE" w:rsidRPr="004678AE" w:rsidRDefault="004678AE" w:rsidP="004678AE">
            <w:pPr>
              <w:pStyle w:val="TableBody"/>
            </w:pPr>
            <w:r w:rsidRPr="004678AE">
              <w:t>Environmental planning instrument</w:t>
            </w:r>
            <w:r>
              <w:t xml:space="preserve"> (made under the EP&amp;A Act)</w:t>
            </w:r>
          </w:p>
        </w:tc>
      </w:tr>
      <w:tr w:rsidR="008415E2" w:rsidRPr="00F06DBB" w14:paraId="22F6B274" w14:textId="77777777" w:rsidTr="00E954ED">
        <w:trPr>
          <w:trHeight w:val="340"/>
        </w:trPr>
        <w:tc>
          <w:tcPr>
            <w:tcW w:w="2093" w:type="dxa"/>
          </w:tcPr>
          <w:p w14:paraId="0D6D8E2A" w14:textId="12DED717" w:rsidR="008415E2" w:rsidRDefault="008415E2" w:rsidP="00806F5D">
            <w:pPr>
              <w:pStyle w:val="TableBody"/>
            </w:pPr>
            <w:r>
              <w:t>ILUA</w:t>
            </w:r>
          </w:p>
        </w:tc>
        <w:tc>
          <w:tcPr>
            <w:tcW w:w="7087" w:type="dxa"/>
          </w:tcPr>
          <w:p w14:paraId="3EF39DBA" w14:textId="69042A5B" w:rsidR="008415E2" w:rsidRPr="004678AE" w:rsidRDefault="001C1E01" w:rsidP="004678AE">
            <w:pPr>
              <w:pStyle w:val="TableBody"/>
            </w:pPr>
            <w:r>
              <w:t>Aboriginal</w:t>
            </w:r>
            <w:r w:rsidR="008415E2">
              <w:t xml:space="preserve"> Land Use Agreement</w:t>
            </w:r>
          </w:p>
        </w:tc>
      </w:tr>
      <w:tr w:rsidR="008E5149" w:rsidRPr="00F06DBB" w14:paraId="62B355CA" w14:textId="77777777" w:rsidTr="00E954ED">
        <w:trPr>
          <w:trHeight w:val="340"/>
        </w:trPr>
        <w:tc>
          <w:tcPr>
            <w:tcW w:w="2093" w:type="dxa"/>
          </w:tcPr>
          <w:p w14:paraId="60D5578A" w14:textId="14EF1C19" w:rsidR="008E5149" w:rsidRDefault="008E5149" w:rsidP="00806F5D">
            <w:pPr>
              <w:pStyle w:val="TableBody"/>
            </w:pPr>
            <w:r>
              <w:t>JAMBA</w:t>
            </w:r>
          </w:p>
        </w:tc>
        <w:tc>
          <w:tcPr>
            <w:tcW w:w="7087" w:type="dxa"/>
          </w:tcPr>
          <w:p w14:paraId="738C26A4" w14:textId="488B695C" w:rsidR="008E5149" w:rsidRPr="004678AE" w:rsidRDefault="008E5149" w:rsidP="008E5149">
            <w:pPr>
              <w:pStyle w:val="TableBody"/>
            </w:pPr>
            <w:r w:rsidRPr="008E5149">
              <w:t>Japan-Australia Migratory Birds Agreement</w:t>
            </w:r>
          </w:p>
        </w:tc>
      </w:tr>
      <w:tr w:rsidR="00C97A3B" w:rsidRPr="00F06DBB" w14:paraId="346F6D2D" w14:textId="77777777" w:rsidTr="00E954ED">
        <w:trPr>
          <w:trHeight w:val="340"/>
        </w:trPr>
        <w:tc>
          <w:tcPr>
            <w:tcW w:w="2093" w:type="dxa"/>
          </w:tcPr>
          <w:p w14:paraId="75E98775" w14:textId="68672919" w:rsidR="00C97A3B" w:rsidRDefault="00C97A3B" w:rsidP="00806F5D">
            <w:pPr>
              <w:pStyle w:val="TableBody"/>
            </w:pPr>
            <w:r>
              <w:t>MNES</w:t>
            </w:r>
          </w:p>
        </w:tc>
        <w:tc>
          <w:tcPr>
            <w:tcW w:w="7087" w:type="dxa"/>
          </w:tcPr>
          <w:p w14:paraId="1AFE9A3A" w14:textId="33D4CBEE" w:rsidR="00C97A3B" w:rsidRPr="00C97A3B" w:rsidRDefault="00C97A3B" w:rsidP="00C97A3B">
            <w:pPr>
              <w:pStyle w:val="TableBody"/>
            </w:pPr>
            <w:r>
              <w:t>Matter of national environmental significance (under the EPBC Act)</w:t>
            </w:r>
          </w:p>
        </w:tc>
      </w:tr>
      <w:tr w:rsidR="009217F7" w:rsidRPr="00F06DBB" w14:paraId="15C92056" w14:textId="77777777" w:rsidTr="00E954ED">
        <w:trPr>
          <w:trHeight w:val="340"/>
        </w:trPr>
        <w:tc>
          <w:tcPr>
            <w:tcW w:w="2093" w:type="dxa"/>
          </w:tcPr>
          <w:p w14:paraId="6B965795" w14:textId="5FEA3A64" w:rsidR="009217F7" w:rsidRDefault="009217F7" w:rsidP="00806F5D">
            <w:pPr>
              <w:pStyle w:val="TableBody"/>
            </w:pPr>
            <w:r>
              <w:t>LEP</w:t>
            </w:r>
          </w:p>
        </w:tc>
        <w:tc>
          <w:tcPr>
            <w:tcW w:w="7087" w:type="dxa"/>
          </w:tcPr>
          <w:p w14:paraId="01AAF016" w14:textId="7C8090B0" w:rsidR="009217F7" w:rsidRDefault="009217F7" w:rsidP="004678AE">
            <w:pPr>
              <w:pStyle w:val="TableBody"/>
            </w:pPr>
            <w:r>
              <w:t xml:space="preserve">Local environmental plan (a type of </w:t>
            </w:r>
            <w:r w:rsidR="004678AE">
              <w:t>EPI</w:t>
            </w:r>
            <w:r>
              <w:t>)</w:t>
            </w:r>
          </w:p>
        </w:tc>
      </w:tr>
      <w:tr w:rsidR="009217F7" w:rsidRPr="00F06DBB" w14:paraId="60E4D20B" w14:textId="77777777" w:rsidTr="00E954ED">
        <w:trPr>
          <w:trHeight w:val="340"/>
        </w:trPr>
        <w:tc>
          <w:tcPr>
            <w:tcW w:w="2093" w:type="dxa"/>
          </w:tcPr>
          <w:p w14:paraId="4A346390" w14:textId="455AE40F" w:rsidR="009217F7" w:rsidRDefault="009217F7" w:rsidP="00806F5D">
            <w:pPr>
              <w:pStyle w:val="TableBody"/>
            </w:pPr>
            <w:r>
              <w:t>LGA</w:t>
            </w:r>
          </w:p>
        </w:tc>
        <w:tc>
          <w:tcPr>
            <w:tcW w:w="7087" w:type="dxa"/>
          </w:tcPr>
          <w:p w14:paraId="56DC6A3F" w14:textId="4AEBFB26" w:rsidR="009217F7" w:rsidRDefault="009217F7" w:rsidP="00C97A3B">
            <w:pPr>
              <w:pStyle w:val="TableBody"/>
            </w:pPr>
            <w:r>
              <w:t>Local government area</w:t>
            </w:r>
          </w:p>
        </w:tc>
      </w:tr>
      <w:tr w:rsidR="00C97A3B" w:rsidRPr="00F06DBB" w14:paraId="4A67D9BA" w14:textId="77777777" w:rsidTr="00E954ED">
        <w:trPr>
          <w:trHeight w:val="340"/>
        </w:trPr>
        <w:tc>
          <w:tcPr>
            <w:tcW w:w="2093" w:type="dxa"/>
          </w:tcPr>
          <w:p w14:paraId="542A2EC4" w14:textId="0D188B44" w:rsidR="00C97A3B" w:rsidRDefault="00C97A3B" w:rsidP="00806F5D">
            <w:pPr>
              <w:pStyle w:val="TableBody"/>
            </w:pPr>
            <w:r>
              <w:t>NHL</w:t>
            </w:r>
          </w:p>
        </w:tc>
        <w:tc>
          <w:tcPr>
            <w:tcW w:w="7087" w:type="dxa"/>
          </w:tcPr>
          <w:p w14:paraId="7150F8DB" w14:textId="01A36941" w:rsidR="00C97A3B" w:rsidRPr="00C97A3B" w:rsidRDefault="00C97A3B" w:rsidP="00C97A3B">
            <w:pPr>
              <w:pStyle w:val="TableBody"/>
            </w:pPr>
            <w:r>
              <w:t>National Heritage List</w:t>
            </w:r>
          </w:p>
        </w:tc>
      </w:tr>
      <w:tr w:rsidR="00C97A3B" w:rsidRPr="00F06DBB" w14:paraId="3433A55A" w14:textId="77777777" w:rsidTr="00E954ED">
        <w:trPr>
          <w:trHeight w:val="340"/>
        </w:trPr>
        <w:tc>
          <w:tcPr>
            <w:tcW w:w="2093" w:type="dxa"/>
          </w:tcPr>
          <w:p w14:paraId="7AF5F01E" w14:textId="3C5B3D1F" w:rsidR="00C97A3B" w:rsidRDefault="00C97A3B" w:rsidP="00806F5D">
            <w:pPr>
              <w:pStyle w:val="TableBody"/>
            </w:pPr>
            <w:r>
              <w:t>NPW Act</w:t>
            </w:r>
          </w:p>
        </w:tc>
        <w:tc>
          <w:tcPr>
            <w:tcW w:w="7087" w:type="dxa"/>
          </w:tcPr>
          <w:p w14:paraId="48099F5E" w14:textId="1344966C" w:rsidR="00C97A3B" w:rsidRDefault="00C97A3B" w:rsidP="00C97A3B">
            <w:pPr>
              <w:pStyle w:val="TableBody"/>
            </w:pPr>
            <w:r w:rsidRPr="00C97A3B">
              <w:rPr>
                <w:i/>
              </w:rPr>
              <w:t>National Parks and Wildlife Act 1974</w:t>
            </w:r>
            <w:r>
              <w:t xml:space="preserve"> (NSW)</w:t>
            </w:r>
          </w:p>
        </w:tc>
      </w:tr>
      <w:tr w:rsidR="008415E2" w:rsidRPr="00F06DBB" w14:paraId="4ECCFBCA" w14:textId="77777777" w:rsidTr="00E954ED">
        <w:trPr>
          <w:trHeight w:val="340"/>
        </w:trPr>
        <w:tc>
          <w:tcPr>
            <w:tcW w:w="2093" w:type="dxa"/>
          </w:tcPr>
          <w:p w14:paraId="7929085C" w14:textId="5A9986DE" w:rsidR="008415E2" w:rsidRDefault="008415E2" w:rsidP="00806F5D">
            <w:pPr>
              <w:pStyle w:val="TableBody"/>
            </w:pPr>
            <w:r>
              <w:t>NNTT</w:t>
            </w:r>
          </w:p>
        </w:tc>
        <w:tc>
          <w:tcPr>
            <w:tcW w:w="7087" w:type="dxa"/>
          </w:tcPr>
          <w:p w14:paraId="36329D65" w14:textId="780E51D3" w:rsidR="008415E2" w:rsidRPr="008415E2" w:rsidRDefault="008415E2" w:rsidP="00C97A3B">
            <w:pPr>
              <w:pStyle w:val="TableBody"/>
            </w:pPr>
            <w:r w:rsidRPr="008415E2">
              <w:t>National Native Title Tribunal</w:t>
            </w:r>
          </w:p>
        </w:tc>
      </w:tr>
      <w:tr w:rsidR="004C53E8" w:rsidRPr="00F06DBB" w14:paraId="16F931BB" w14:textId="77777777" w:rsidTr="00E954ED">
        <w:trPr>
          <w:trHeight w:val="340"/>
        </w:trPr>
        <w:tc>
          <w:tcPr>
            <w:tcW w:w="2093" w:type="dxa"/>
          </w:tcPr>
          <w:p w14:paraId="4409F1BA" w14:textId="3E482107" w:rsidR="004C53E8" w:rsidRDefault="004C53E8" w:rsidP="00806F5D">
            <w:pPr>
              <w:pStyle w:val="TableBody"/>
            </w:pPr>
            <w:r>
              <w:rPr>
                <w:lang w:val="en"/>
              </w:rPr>
              <w:t>NHMRC</w:t>
            </w:r>
          </w:p>
        </w:tc>
        <w:tc>
          <w:tcPr>
            <w:tcW w:w="7087" w:type="dxa"/>
          </w:tcPr>
          <w:p w14:paraId="4C8B4C41" w14:textId="24859D99" w:rsidR="004C53E8" w:rsidRPr="008415E2" w:rsidRDefault="004C53E8" w:rsidP="00C97A3B">
            <w:pPr>
              <w:pStyle w:val="TableBody"/>
            </w:pPr>
            <w:r w:rsidRPr="004C53E8">
              <w:t>National Health and Medical Research Council</w:t>
            </w:r>
          </w:p>
        </w:tc>
      </w:tr>
      <w:tr w:rsidR="00E9218C" w:rsidRPr="00F06DBB" w14:paraId="17E53DF8" w14:textId="77777777" w:rsidTr="00E954ED">
        <w:trPr>
          <w:trHeight w:val="340"/>
        </w:trPr>
        <w:tc>
          <w:tcPr>
            <w:tcW w:w="2093" w:type="dxa"/>
          </w:tcPr>
          <w:p w14:paraId="2C96D863" w14:textId="508707B1" w:rsidR="00E9218C" w:rsidRDefault="00E9218C" w:rsidP="00806F5D">
            <w:pPr>
              <w:pStyle w:val="TableBody"/>
            </w:pPr>
            <w:r>
              <w:t>OEH</w:t>
            </w:r>
          </w:p>
        </w:tc>
        <w:tc>
          <w:tcPr>
            <w:tcW w:w="7087" w:type="dxa"/>
          </w:tcPr>
          <w:p w14:paraId="31F82662" w14:textId="59C11F7E" w:rsidR="00E9218C" w:rsidRPr="008415E2" w:rsidRDefault="00E9218C" w:rsidP="00C97A3B">
            <w:pPr>
              <w:pStyle w:val="TableBody"/>
            </w:pPr>
            <w:r>
              <w:t>Office of Environment and Heritage (NSW)</w:t>
            </w:r>
          </w:p>
        </w:tc>
      </w:tr>
      <w:tr w:rsidR="00541AAF" w:rsidRPr="00F06DBB" w14:paraId="01DBE860" w14:textId="77777777" w:rsidTr="00E954ED">
        <w:trPr>
          <w:trHeight w:val="340"/>
        </w:trPr>
        <w:tc>
          <w:tcPr>
            <w:tcW w:w="2093" w:type="dxa"/>
          </w:tcPr>
          <w:p w14:paraId="4BAB6874" w14:textId="6C6E4B04" w:rsidR="00541AAF" w:rsidRDefault="00541AAF" w:rsidP="00806F5D">
            <w:pPr>
              <w:pStyle w:val="TableBody"/>
            </w:pPr>
            <w:r>
              <w:t>PCT</w:t>
            </w:r>
          </w:p>
        </w:tc>
        <w:tc>
          <w:tcPr>
            <w:tcW w:w="7087" w:type="dxa"/>
          </w:tcPr>
          <w:p w14:paraId="09D31511" w14:textId="5E40D5BC" w:rsidR="00541AAF" w:rsidRDefault="00541AAF" w:rsidP="00C97A3B">
            <w:pPr>
              <w:pStyle w:val="TableBody"/>
            </w:pPr>
            <w:r>
              <w:t>Plant community type</w:t>
            </w:r>
          </w:p>
        </w:tc>
      </w:tr>
      <w:tr w:rsidR="003F4061" w:rsidRPr="00F06DBB" w14:paraId="1F9FE349" w14:textId="77777777" w:rsidTr="00E954ED">
        <w:trPr>
          <w:trHeight w:val="340"/>
        </w:trPr>
        <w:tc>
          <w:tcPr>
            <w:tcW w:w="2093" w:type="dxa"/>
          </w:tcPr>
          <w:p w14:paraId="22B580F7" w14:textId="53DF3BF6" w:rsidR="003F4061" w:rsidRDefault="003F4061" w:rsidP="00806F5D">
            <w:pPr>
              <w:pStyle w:val="TableBody"/>
            </w:pPr>
            <w:r>
              <w:t>ROTAP</w:t>
            </w:r>
          </w:p>
        </w:tc>
        <w:tc>
          <w:tcPr>
            <w:tcW w:w="7087" w:type="dxa"/>
          </w:tcPr>
          <w:p w14:paraId="282146A5" w14:textId="0BD2DEF2" w:rsidR="003F4061" w:rsidRPr="003F4061" w:rsidRDefault="003F4061" w:rsidP="009B550A">
            <w:pPr>
              <w:pStyle w:val="TableBody"/>
            </w:pPr>
            <w:r w:rsidRPr="003F4061">
              <w:t>Rare or Threatened Australia Plants</w:t>
            </w:r>
            <w:r w:rsidR="009B550A">
              <w:t xml:space="preserve"> (</w:t>
            </w:r>
            <w:r>
              <w:t>a list of rare or threatened Australian plant taxa developed and maintained by the CSIRO</w:t>
            </w:r>
            <w:r w:rsidR="009B550A">
              <w:t>)</w:t>
            </w:r>
          </w:p>
        </w:tc>
      </w:tr>
      <w:tr w:rsidR="00E47F27" w:rsidRPr="00F06DBB" w14:paraId="17B627BD" w14:textId="77777777" w:rsidTr="00E954ED">
        <w:trPr>
          <w:trHeight w:val="340"/>
        </w:trPr>
        <w:tc>
          <w:tcPr>
            <w:tcW w:w="2093" w:type="dxa"/>
          </w:tcPr>
          <w:p w14:paraId="03E6B404" w14:textId="1ACEB0CF" w:rsidR="00E47F27" w:rsidRDefault="00C97A3B" w:rsidP="00806F5D">
            <w:pPr>
              <w:pStyle w:val="TableBody"/>
            </w:pPr>
            <w:r>
              <w:t>RNE</w:t>
            </w:r>
          </w:p>
        </w:tc>
        <w:tc>
          <w:tcPr>
            <w:tcW w:w="7087" w:type="dxa"/>
          </w:tcPr>
          <w:p w14:paraId="4494B37A" w14:textId="5EFD76D7" w:rsidR="00E47F27" w:rsidRPr="00F06DBB" w:rsidRDefault="00C97A3B" w:rsidP="00261470">
            <w:pPr>
              <w:pStyle w:val="TableBody"/>
            </w:pPr>
            <w:r>
              <w:t>Register of the National Estate</w:t>
            </w:r>
          </w:p>
        </w:tc>
      </w:tr>
      <w:tr w:rsidR="009217F7" w:rsidRPr="00F06DBB" w14:paraId="5F1A310C" w14:textId="77777777" w:rsidTr="00E954ED">
        <w:trPr>
          <w:trHeight w:val="340"/>
        </w:trPr>
        <w:tc>
          <w:tcPr>
            <w:tcW w:w="2093" w:type="dxa"/>
          </w:tcPr>
          <w:p w14:paraId="3FE57160" w14:textId="0AD87141" w:rsidR="009217F7" w:rsidRDefault="009217F7" w:rsidP="00806F5D">
            <w:pPr>
              <w:pStyle w:val="TableBody"/>
            </w:pPr>
            <w:r>
              <w:t>SEPP</w:t>
            </w:r>
          </w:p>
        </w:tc>
        <w:tc>
          <w:tcPr>
            <w:tcW w:w="7087" w:type="dxa"/>
          </w:tcPr>
          <w:p w14:paraId="603B5434" w14:textId="514DCAC5" w:rsidR="009217F7" w:rsidRDefault="009217F7" w:rsidP="004678AE">
            <w:pPr>
              <w:pStyle w:val="TableBody"/>
            </w:pPr>
            <w:r>
              <w:t>State Environmental Planning Policy (a type of EP</w:t>
            </w:r>
            <w:r w:rsidR="004678AE">
              <w:t>I</w:t>
            </w:r>
            <w:r>
              <w:t>)</w:t>
            </w:r>
          </w:p>
        </w:tc>
      </w:tr>
      <w:tr w:rsidR="009217F7" w:rsidRPr="00F06DBB" w14:paraId="2505A01A" w14:textId="77777777" w:rsidTr="00E954ED">
        <w:trPr>
          <w:trHeight w:val="340"/>
        </w:trPr>
        <w:tc>
          <w:tcPr>
            <w:tcW w:w="2093" w:type="dxa"/>
          </w:tcPr>
          <w:p w14:paraId="6616D93D" w14:textId="63DBCF19" w:rsidR="009217F7" w:rsidRDefault="009217F7" w:rsidP="00806F5D">
            <w:pPr>
              <w:pStyle w:val="TableBody"/>
            </w:pPr>
            <w:r>
              <w:t>SHR</w:t>
            </w:r>
          </w:p>
        </w:tc>
        <w:tc>
          <w:tcPr>
            <w:tcW w:w="7087" w:type="dxa"/>
          </w:tcPr>
          <w:p w14:paraId="1598E13D" w14:textId="02A4E121" w:rsidR="009217F7" w:rsidRDefault="009217F7" w:rsidP="00261470">
            <w:pPr>
              <w:pStyle w:val="TableBody"/>
            </w:pPr>
            <w:r>
              <w:t>State Heritage Register (NSW)</w:t>
            </w:r>
          </w:p>
        </w:tc>
      </w:tr>
      <w:tr w:rsidR="00AE7661" w:rsidRPr="00F06DBB" w14:paraId="7C6B948A" w14:textId="77777777" w:rsidTr="00E954ED">
        <w:trPr>
          <w:trHeight w:val="340"/>
        </w:trPr>
        <w:tc>
          <w:tcPr>
            <w:tcW w:w="2093" w:type="dxa"/>
          </w:tcPr>
          <w:p w14:paraId="220AA009" w14:textId="462E740F" w:rsidR="00AE7661" w:rsidRDefault="00AE7661" w:rsidP="00806F5D">
            <w:pPr>
              <w:pStyle w:val="TableBody"/>
            </w:pPr>
            <w:r>
              <w:t>SSI</w:t>
            </w:r>
          </w:p>
        </w:tc>
        <w:tc>
          <w:tcPr>
            <w:tcW w:w="7087" w:type="dxa"/>
          </w:tcPr>
          <w:p w14:paraId="0CAA4D7E" w14:textId="4B3C6A14" w:rsidR="00AE7661" w:rsidRDefault="00AE7661" w:rsidP="00AE7661">
            <w:pPr>
              <w:pStyle w:val="TableBody"/>
            </w:pPr>
            <w:r>
              <w:t>State Significant Infrastructure; a class of major development undertaken by a NSW public authority</w:t>
            </w:r>
          </w:p>
        </w:tc>
      </w:tr>
      <w:tr w:rsidR="00C97A3B" w:rsidRPr="00F06DBB" w14:paraId="6C77385E" w14:textId="77777777" w:rsidTr="00E954ED">
        <w:trPr>
          <w:trHeight w:val="340"/>
        </w:trPr>
        <w:tc>
          <w:tcPr>
            <w:tcW w:w="2093" w:type="dxa"/>
          </w:tcPr>
          <w:p w14:paraId="414579BE" w14:textId="34BA6835" w:rsidR="00C97A3B" w:rsidRDefault="00C97A3B" w:rsidP="00806F5D">
            <w:pPr>
              <w:pStyle w:val="TableBody"/>
            </w:pPr>
            <w:r>
              <w:t>TSC Act</w:t>
            </w:r>
          </w:p>
        </w:tc>
        <w:tc>
          <w:tcPr>
            <w:tcW w:w="7087" w:type="dxa"/>
          </w:tcPr>
          <w:p w14:paraId="215C495D" w14:textId="6E3C8F0B" w:rsidR="00C97A3B" w:rsidRDefault="00C97A3B" w:rsidP="00261470">
            <w:pPr>
              <w:pStyle w:val="TableBody"/>
            </w:pPr>
            <w:r w:rsidRPr="00C97A3B">
              <w:rPr>
                <w:i/>
              </w:rPr>
              <w:t>Threatened Species Conservation Act 1995</w:t>
            </w:r>
            <w:r>
              <w:t xml:space="preserve"> (NSW)</w:t>
            </w:r>
          </w:p>
        </w:tc>
      </w:tr>
      <w:tr w:rsidR="008072EE" w:rsidRPr="00F06DBB" w14:paraId="4B6D140A" w14:textId="77777777" w:rsidTr="00E954ED">
        <w:trPr>
          <w:trHeight w:val="340"/>
        </w:trPr>
        <w:tc>
          <w:tcPr>
            <w:tcW w:w="2093" w:type="dxa"/>
          </w:tcPr>
          <w:p w14:paraId="190477BD" w14:textId="32A69AED" w:rsidR="008072EE" w:rsidRDefault="008072EE" w:rsidP="00806F5D">
            <w:pPr>
              <w:pStyle w:val="TableBody"/>
            </w:pPr>
            <w:r>
              <w:t>UNESCO</w:t>
            </w:r>
          </w:p>
        </w:tc>
        <w:tc>
          <w:tcPr>
            <w:tcW w:w="7087" w:type="dxa"/>
          </w:tcPr>
          <w:p w14:paraId="5B724FD2" w14:textId="1479EA42" w:rsidR="008072EE" w:rsidRPr="008072EE" w:rsidRDefault="008072EE" w:rsidP="00261470">
            <w:pPr>
              <w:pStyle w:val="TableBody"/>
            </w:pPr>
            <w:r w:rsidRPr="008072EE">
              <w:t>United Nations Educational, Scientific and Cultural Organization</w:t>
            </w:r>
          </w:p>
        </w:tc>
      </w:tr>
      <w:tr w:rsidR="00C97A3B" w:rsidRPr="00F06DBB" w14:paraId="4FEDD2A4" w14:textId="77777777" w:rsidTr="00E954ED">
        <w:trPr>
          <w:trHeight w:val="340"/>
        </w:trPr>
        <w:tc>
          <w:tcPr>
            <w:tcW w:w="2093" w:type="dxa"/>
          </w:tcPr>
          <w:p w14:paraId="0E8D777E" w14:textId="560FABA3" w:rsidR="00C97A3B" w:rsidRDefault="008072EE" w:rsidP="00806F5D">
            <w:pPr>
              <w:pStyle w:val="TableBody"/>
            </w:pPr>
            <w:r>
              <w:t>WHL</w:t>
            </w:r>
          </w:p>
        </w:tc>
        <w:tc>
          <w:tcPr>
            <w:tcW w:w="7087" w:type="dxa"/>
          </w:tcPr>
          <w:p w14:paraId="642DE66D" w14:textId="323882D4" w:rsidR="00C97A3B" w:rsidRPr="00C97A3B" w:rsidRDefault="008072EE" w:rsidP="00261470">
            <w:pPr>
              <w:pStyle w:val="TableBody"/>
            </w:pPr>
            <w:r>
              <w:t>World Heritage List</w:t>
            </w:r>
          </w:p>
        </w:tc>
      </w:tr>
      <w:tr w:rsidR="00A71FFD" w:rsidRPr="00F06DBB" w14:paraId="2B2B49D5" w14:textId="77777777" w:rsidTr="00E954ED">
        <w:trPr>
          <w:trHeight w:val="340"/>
        </w:trPr>
        <w:tc>
          <w:tcPr>
            <w:tcW w:w="2093" w:type="dxa"/>
          </w:tcPr>
          <w:p w14:paraId="4A68EA10" w14:textId="36BC3444" w:rsidR="00A71FFD" w:rsidRDefault="00A71FFD" w:rsidP="00806F5D">
            <w:pPr>
              <w:pStyle w:val="TableBody"/>
            </w:pPr>
            <w:r>
              <w:t>WQ</w:t>
            </w:r>
          </w:p>
        </w:tc>
        <w:tc>
          <w:tcPr>
            <w:tcW w:w="7087" w:type="dxa"/>
          </w:tcPr>
          <w:p w14:paraId="35E84852" w14:textId="6D2DDDE8" w:rsidR="00A71FFD" w:rsidRDefault="00A71FFD" w:rsidP="00261470">
            <w:pPr>
              <w:pStyle w:val="TableBody"/>
            </w:pPr>
            <w:r>
              <w:t>Water quality</w:t>
            </w:r>
          </w:p>
        </w:tc>
      </w:tr>
      <w:tr w:rsidR="00A71FFD" w:rsidRPr="00F06DBB" w14:paraId="17CCDA33" w14:textId="77777777" w:rsidTr="00E954ED">
        <w:trPr>
          <w:trHeight w:val="340"/>
        </w:trPr>
        <w:tc>
          <w:tcPr>
            <w:tcW w:w="2093" w:type="dxa"/>
          </w:tcPr>
          <w:p w14:paraId="4D3EF368" w14:textId="28DB85F6" w:rsidR="00A71FFD" w:rsidRDefault="00A71FFD" w:rsidP="00806F5D">
            <w:pPr>
              <w:pStyle w:val="TableBody"/>
            </w:pPr>
            <w:r>
              <w:t>WQO</w:t>
            </w:r>
          </w:p>
        </w:tc>
        <w:tc>
          <w:tcPr>
            <w:tcW w:w="7087" w:type="dxa"/>
          </w:tcPr>
          <w:p w14:paraId="030CA970" w14:textId="77A3AF82" w:rsidR="00A71FFD" w:rsidRDefault="00A71FFD" w:rsidP="00A71FFD">
            <w:pPr>
              <w:pStyle w:val="TableBody"/>
            </w:pPr>
            <w:r w:rsidRPr="00A71FFD">
              <w:t>Water Quality Objective</w:t>
            </w:r>
            <w:r>
              <w:t>s (</w:t>
            </w:r>
            <w:r w:rsidRPr="00A71FFD">
              <w:t>these represent the community</w:t>
            </w:r>
            <w:r w:rsidR="00A232C2">
              <w:t>’</w:t>
            </w:r>
            <w:r w:rsidRPr="00A71FFD">
              <w:t xml:space="preserve">s environmental values for waterways </w:t>
            </w:r>
            <w:r>
              <w:t>within each catchment in NSW)</w:t>
            </w:r>
          </w:p>
        </w:tc>
      </w:tr>
      <w:tr w:rsidR="00A232C2" w:rsidRPr="00F06DBB" w14:paraId="59D8ED22" w14:textId="77777777" w:rsidTr="00E954ED">
        <w:trPr>
          <w:trHeight w:val="340"/>
        </w:trPr>
        <w:tc>
          <w:tcPr>
            <w:tcW w:w="2093" w:type="dxa"/>
          </w:tcPr>
          <w:p w14:paraId="0C8F7479" w14:textId="720E1B86" w:rsidR="00A232C2" w:rsidRDefault="00A232C2" w:rsidP="00806F5D">
            <w:pPr>
              <w:pStyle w:val="TableBody"/>
            </w:pPr>
            <w:r>
              <w:t>WSU</w:t>
            </w:r>
          </w:p>
        </w:tc>
        <w:tc>
          <w:tcPr>
            <w:tcW w:w="7087" w:type="dxa"/>
          </w:tcPr>
          <w:p w14:paraId="7673F708" w14:textId="5D9107C2" w:rsidR="00A232C2" w:rsidRPr="00A71FFD" w:rsidRDefault="00A232C2" w:rsidP="00A71FFD">
            <w:pPr>
              <w:pStyle w:val="TableBody"/>
            </w:pPr>
            <w:r>
              <w:t>Western Sydney Unit (of DI&amp;RD)</w:t>
            </w:r>
          </w:p>
        </w:tc>
      </w:tr>
    </w:tbl>
    <w:p w14:paraId="439B4725" w14:textId="77777777" w:rsidR="004F2CA1" w:rsidRDefault="004F2CA1" w:rsidP="00AB4A98">
      <w:pPr>
        <w:pStyle w:val="BodyText"/>
      </w:pPr>
    </w:p>
    <w:bookmarkEnd w:id="3"/>
    <w:bookmarkEnd w:id="4"/>
    <w:p w14:paraId="62AD994F" w14:textId="77777777" w:rsidR="00261470" w:rsidRDefault="00261470" w:rsidP="006E338D">
      <w:pPr>
        <w:pStyle w:val="Heading1"/>
        <w:sectPr w:rsidR="00261470" w:rsidSect="00823B17">
          <w:type w:val="oddPage"/>
          <w:pgSz w:w="11900" w:h="16840"/>
          <w:pgMar w:top="1418" w:right="1418" w:bottom="1418" w:left="1418" w:header="709" w:footer="709" w:gutter="0"/>
          <w:pgNumType w:fmt="lowerRoman"/>
          <w:cols w:space="708"/>
          <w:docGrid w:linePitch="360"/>
        </w:sectPr>
      </w:pPr>
    </w:p>
    <w:p w14:paraId="5A4B6C29" w14:textId="55095924" w:rsidR="007B7377" w:rsidRPr="007B7377" w:rsidRDefault="00BE3216" w:rsidP="006E338D">
      <w:pPr>
        <w:pStyle w:val="Heading1"/>
      </w:pPr>
      <w:bookmarkStart w:id="5" w:name="_Toc400720064"/>
      <w:r>
        <w:t>Introduction</w:t>
      </w:r>
      <w:bookmarkEnd w:id="5"/>
    </w:p>
    <w:p w14:paraId="1A8134BE" w14:textId="3C6EBE0E" w:rsidR="00BE3216" w:rsidRDefault="003B00DE" w:rsidP="003B00DE">
      <w:pPr>
        <w:pStyle w:val="Heading2"/>
      </w:pPr>
      <w:bookmarkStart w:id="6" w:name="_Toc400720065"/>
      <w:r>
        <w:t>Background to the investigation</w:t>
      </w:r>
      <w:bookmarkEnd w:id="6"/>
    </w:p>
    <w:p w14:paraId="0A978B82" w14:textId="203D831C" w:rsidR="00AA1557" w:rsidRDefault="00AA1557" w:rsidP="00AA1557">
      <w:pPr>
        <w:pStyle w:val="BodyText"/>
      </w:pPr>
      <w:r>
        <w:t xml:space="preserve">This environmental survey of </w:t>
      </w:r>
      <w:r w:rsidR="004F79B1">
        <w:t>Commonwealth land</w:t>
      </w:r>
      <w:r>
        <w:t xml:space="preserve"> at Badgerys Creek has been prepared by SMEC Australia Pty Ltd (SMEC) on behalf of the Western Sydney Unit (WSU) of the Department of Infrastructure and Regional Development. The survey builds upon a substantial body of existing information about the site to provide an updated baseline of the status and condition of specific environmental aspects.</w:t>
      </w:r>
    </w:p>
    <w:p w14:paraId="72CFAD1A" w14:textId="5C99410A" w:rsidR="00AA1557" w:rsidRDefault="00AA1557" w:rsidP="00AA1557">
      <w:pPr>
        <w:pStyle w:val="BodyText"/>
      </w:pPr>
      <w:r>
        <w:t>In particular, this survey focuses on the following specific environmental aspects:</w:t>
      </w:r>
    </w:p>
    <w:p w14:paraId="2430A519" w14:textId="62490CB8" w:rsidR="00AA1557" w:rsidRDefault="00A232C2" w:rsidP="00AF0095">
      <w:pPr>
        <w:pStyle w:val="ListBullet"/>
      </w:pPr>
      <w:r>
        <w:t>f</w:t>
      </w:r>
      <w:r w:rsidR="00AA1557">
        <w:t xml:space="preserve">lora and fauna, including nationally and state-listed threatened species and ecological communities and listed migratory species potentially </w:t>
      </w:r>
      <w:r w:rsidR="00944575">
        <w:t>on or utilising the site</w:t>
      </w:r>
    </w:p>
    <w:p w14:paraId="793A8413" w14:textId="40E65A7B" w:rsidR="00AA1557" w:rsidRDefault="00A232C2" w:rsidP="00AF0095">
      <w:pPr>
        <w:pStyle w:val="ListBullet"/>
      </w:pPr>
      <w:r>
        <w:t>h</w:t>
      </w:r>
      <w:r w:rsidR="00AA1557">
        <w:t>ydrolog</w:t>
      </w:r>
      <w:r w:rsidR="00944575">
        <w:t>ical features and water quality</w:t>
      </w:r>
    </w:p>
    <w:p w14:paraId="54E9BE7E" w14:textId="2AF89D9E" w:rsidR="00AA1557" w:rsidRDefault="00AA1557" w:rsidP="00AF0095">
      <w:pPr>
        <w:pStyle w:val="ListBullet"/>
      </w:pPr>
      <w:r>
        <w:t>Aboriginal and historic cultural heritage.</w:t>
      </w:r>
    </w:p>
    <w:p w14:paraId="19BC8A8D" w14:textId="2A14A5F3" w:rsidR="008C366C" w:rsidRDefault="00AA1557" w:rsidP="00BE3216">
      <w:pPr>
        <w:pStyle w:val="BodyText"/>
      </w:pPr>
      <w:r>
        <w:t xml:space="preserve">The environmental </w:t>
      </w:r>
      <w:r w:rsidR="00953A97">
        <w:t>status</w:t>
      </w:r>
      <w:r>
        <w:t xml:space="preserve"> of the </w:t>
      </w:r>
      <w:r w:rsidR="00E50AC7">
        <w:t xml:space="preserve">Commonwealth land at </w:t>
      </w:r>
      <w:r>
        <w:t xml:space="preserve">Badgerys Creek </w:t>
      </w:r>
      <w:r w:rsidR="00F2767F">
        <w:t xml:space="preserve">(refer Figure 1-1) </w:t>
      </w:r>
      <w:r>
        <w:t>ha</w:t>
      </w:r>
      <w:r w:rsidR="00AF0095">
        <w:t>s</w:t>
      </w:r>
      <w:r>
        <w:t xml:space="preserve"> been the subject of a number of </w:t>
      </w:r>
      <w:r w:rsidR="00E50AC7">
        <w:t>previous</w:t>
      </w:r>
      <w:r>
        <w:t xml:space="preserve"> investigations. Th</w:t>
      </w:r>
      <w:r w:rsidR="00E50AC7">
        <w:t>ese</w:t>
      </w:r>
      <w:r>
        <w:t xml:space="preserve"> include environmental investigations undertaken for the Draft Environmental Impact Statement (EIS) that was completed in 1997 and the Supplement to the Draft EIS completed in 1999, both under the </w:t>
      </w:r>
      <w:r w:rsidRPr="00AA1557">
        <w:rPr>
          <w:i/>
        </w:rPr>
        <w:t>Environment Protection (Impact of Proposals) Ac</w:t>
      </w:r>
      <w:r>
        <w:rPr>
          <w:i/>
        </w:rPr>
        <w:t>t</w:t>
      </w:r>
      <w:r w:rsidRPr="00AA1557">
        <w:rPr>
          <w:i/>
        </w:rPr>
        <w:t xml:space="preserve"> 1974</w:t>
      </w:r>
      <w:r w:rsidR="00500FAE">
        <w:t>.</w:t>
      </w:r>
    </w:p>
    <w:p w14:paraId="711C03F5" w14:textId="65C438DB" w:rsidR="008C366C" w:rsidRDefault="008C366C" w:rsidP="008C366C">
      <w:pPr>
        <w:pStyle w:val="Heading2"/>
      </w:pPr>
      <w:bookmarkStart w:id="7" w:name="_Toc400720066"/>
      <w:r>
        <w:t>Objectives of the investigation</w:t>
      </w:r>
      <w:bookmarkEnd w:id="7"/>
    </w:p>
    <w:p w14:paraId="326306D9" w14:textId="52C8C4FA" w:rsidR="0076002B" w:rsidRDefault="0076002B" w:rsidP="005720AC">
      <w:pPr>
        <w:pStyle w:val="BodyText"/>
      </w:pPr>
      <w:r>
        <w:t xml:space="preserve">The purpose of the current survey is to build upon the previous work relating to the environmental issues of the </w:t>
      </w:r>
      <w:r w:rsidR="0089647F">
        <w:t xml:space="preserve">Commonwealth land at Badgerys Creek </w:t>
      </w:r>
      <w:r>
        <w:t>and to bring this knowledge up to date. The current work interprets the findings of the survey in the context of current Commonwealth and NSW legislation and guidance materials.</w:t>
      </w:r>
    </w:p>
    <w:p w14:paraId="208AED75" w14:textId="59C9DBD5" w:rsidR="005720AC" w:rsidRDefault="005720AC" w:rsidP="005720AC">
      <w:pPr>
        <w:pStyle w:val="BodyText"/>
      </w:pPr>
      <w:r>
        <w:t xml:space="preserve">The </w:t>
      </w:r>
      <w:r w:rsidR="0076002B">
        <w:t xml:space="preserve">specific </w:t>
      </w:r>
      <w:r w:rsidR="00AA1557">
        <w:t>objectives</w:t>
      </w:r>
      <w:r>
        <w:t xml:space="preserve"> of the </w:t>
      </w:r>
      <w:r w:rsidR="004F79B1">
        <w:t>investigation</w:t>
      </w:r>
      <w:r>
        <w:t xml:space="preserve"> </w:t>
      </w:r>
      <w:r w:rsidR="00AA1557">
        <w:t>are</w:t>
      </w:r>
      <w:r>
        <w:t xml:space="preserve"> to:</w:t>
      </w:r>
    </w:p>
    <w:p w14:paraId="0CC47667" w14:textId="1CCFD8C9" w:rsidR="005720AC" w:rsidRPr="005720AC" w:rsidRDefault="00A232C2" w:rsidP="00AF0095">
      <w:pPr>
        <w:pStyle w:val="ListBullet"/>
      </w:pPr>
      <w:r>
        <w:t>u</w:t>
      </w:r>
      <w:r w:rsidR="005720AC">
        <w:t>pdate</w:t>
      </w:r>
      <w:r w:rsidR="005720AC" w:rsidRPr="005720AC">
        <w:t xml:space="preserve"> existing baseline environmental information for the </w:t>
      </w:r>
      <w:r w:rsidR="004F79B1">
        <w:t>Commonwealth land</w:t>
      </w:r>
      <w:r w:rsidR="005720AC" w:rsidRPr="005720AC">
        <w:t xml:space="preserve"> at Badgerys Creek and specifically the status and condition of the site’s flora, fauna, cultural her</w:t>
      </w:r>
      <w:r w:rsidR="00944575">
        <w:t>itage and hydrological features</w:t>
      </w:r>
    </w:p>
    <w:p w14:paraId="67FEF92D" w14:textId="5C2B64DE" w:rsidR="005720AC" w:rsidRPr="005720AC" w:rsidRDefault="00A232C2" w:rsidP="00AF0095">
      <w:pPr>
        <w:pStyle w:val="ListBullet"/>
      </w:pPr>
      <w:r>
        <w:t>i</w:t>
      </w:r>
      <w:r w:rsidR="005720AC" w:rsidRPr="005720AC">
        <w:t>dentify the national, state and regional significance of these environmental aspects in the broader environmental context of</w:t>
      </w:r>
      <w:r w:rsidR="00944575">
        <w:t xml:space="preserve"> the area surrounding the </w:t>
      </w:r>
      <w:r w:rsidR="0089647F">
        <w:t>land</w:t>
      </w:r>
    </w:p>
    <w:p w14:paraId="3BAA102F" w14:textId="33B85963" w:rsidR="005720AC" w:rsidRPr="005720AC" w:rsidRDefault="00A232C2" w:rsidP="00AF0095">
      <w:pPr>
        <w:pStyle w:val="ListBullet"/>
      </w:pPr>
      <w:r>
        <w:t>a</w:t>
      </w:r>
      <w:r w:rsidR="005720AC" w:rsidRPr="005720AC">
        <w:t>nalyse any changes in status and condition since the last field survey</w:t>
      </w:r>
      <w:r w:rsidR="005720AC">
        <w:t>s</w:t>
      </w:r>
      <w:r w:rsidR="005720AC" w:rsidRPr="005720AC">
        <w:t xml:space="preserve"> undertaken in the late 1990s</w:t>
      </w:r>
      <w:r w:rsidR="0089647F">
        <w:t xml:space="preserve">, </w:t>
      </w:r>
      <w:r w:rsidR="005720AC" w:rsidRPr="005720AC">
        <w:t xml:space="preserve">particularly in the context of the requirements of the </w:t>
      </w:r>
      <w:r w:rsidR="005720AC" w:rsidRPr="005720AC">
        <w:rPr>
          <w:i/>
        </w:rPr>
        <w:t>Environment Protection and Biodiversity Conservation Act 1999</w:t>
      </w:r>
    </w:p>
    <w:p w14:paraId="063BB6F1" w14:textId="1B94D85D" w:rsidR="005720AC" w:rsidRPr="005720AC" w:rsidRDefault="00A232C2" w:rsidP="00AF0095">
      <w:pPr>
        <w:pStyle w:val="ListBullet"/>
      </w:pPr>
      <w:r>
        <w:t>p</w:t>
      </w:r>
      <w:r w:rsidR="005720AC" w:rsidRPr="005720AC">
        <w:t>rovide baseline data to inform any future environmental assessment</w:t>
      </w:r>
      <w:r w:rsidR="00C614BD">
        <w:t>(s)</w:t>
      </w:r>
    </w:p>
    <w:p w14:paraId="3BE5E330" w14:textId="6FE80D2F" w:rsidR="005720AC" w:rsidRPr="005720AC" w:rsidRDefault="00A232C2" w:rsidP="00AF0095">
      <w:pPr>
        <w:pStyle w:val="ListBullet"/>
      </w:pPr>
      <w:r>
        <w:t>p</w:t>
      </w:r>
      <w:r w:rsidR="005720AC" w:rsidRPr="005720AC">
        <w:t>rovide a benchmark against which past and f</w:t>
      </w:r>
      <w:r w:rsidR="00944575">
        <w:t>uture surveys can be compared</w:t>
      </w:r>
    </w:p>
    <w:p w14:paraId="7D4985A5" w14:textId="4DACDF74" w:rsidR="005720AC" w:rsidRDefault="00A232C2" w:rsidP="00AF0095">
      <w:pPr>
        <w:pStyle w:val="ListBullet"/>
      </w:pPr>
      <w:proofErr w:type="gramStart"/>
      <w:r>
        <w:t>m</w:t>
      </w:r>
      <w:r w:rsidR="005720AC" w:rsidRPr="005720AC">
        <w:t>ake</w:t>
      </w:r>
      <w:proofErr w:type="gramEnd"/>
      <w:r w:rsidR="005720AC" w:rsidRPr="005720AC">
        <w:t xml:space="preserve"> rec</w:t>
      </w:r>
      <w:r w:rsidR="005720AC">
        <w:t>ommendations for possible future site survey program</w:t>
      </w:r>
      <w:r w:rsidR="00AA1557">
        <w:t>(s)</w:t>
      </w:r>
      <w:r w:rsidR="005720AC">
        <w:t>.</w:t>
      </w:r>
    </w:p>
    <w:p w14:paraId="4BC54841" w14:textId="19D218F9" w:rsidR="00410FCA" w:rsidRDefault="005720AC" w:rsidP="005720AC">
      <w:pPr>
        <w:pStyle w:val="BodyText"/>
      </w:pPr>
      <w:r>
        <w:t xml:space="preserve">The environmental survey will be used to assist the Commonwealth to identify, analyse and consider options available for </w:t>
      </w:r>
      <w:r w:rsidR="00AA1557">
        <w:t xml:space="preserve">the existing </w:t>
      </w:r>
      <w:r w:rsidR="00AF0095">
        <w:t xml:space="preserve">and future </w:t>
      </w:r>
      <w:r w:rsidR="00AA1557">
        <w:t xml:space="preserve">management of the </w:t>
      </w:r>
      <w:r w:rsidR="0089647F">
        <w:t>land</w:t>
      </w:r>
      <w:r>
        <w:t>.</w:t>
      </w:r>
    </w:p>
    <w:p w14:paraId="118A75D9" w14:textId="7B656C6D" w:rsidR="00EF76BA" w:rsidRDefault="00EF76BA" w:rsidP="00EF76BA">
      <w:pPr>
        <w:pStyle w:val="BodyText"/>
        <w:spacing w:before="240"/>
      </w:pPr>
      <w:r>
        <w:t>Specialist investigations for biodiversity, historic heritage and Aboriginal heritage were undertaken to support and inform the survey. These are included as Appendices A, B, and C respectively to this report.</w:t>
      </w:r>
    </w:p>
    <w:p w14:paraId="7AF03959" w14:textId="2A6BB53C" w:rsidR="001C1140" w:rsidRDefault="001C1140" w:rsidP="001C1140">
      <w:pPr>
        <w:pStyle w:val="BodyText"/>
      </w:pPr>
      <w:r>
        <w:br w:type="page"/>
      </w:r>
    </w:p>
    <w:p w14:paraId="0114767A" w14:textId="4F462482" w:rsidR="001C1140" w:rsidRDefault="00E95643" w:rsidP="00E95643">
      <w:pPr>
        <w:pStyle w:val="BodyText"/>
        <w:ind w:left="-142"/>
      </w:pPr>
      <w:r>
        <w:rPr>
          <w:noProof/>
          <w:lang w:eastAsia="en-AU"/>
        </w:rPr>
        <w:drawing>
          <wp:inline distT="0" distB="0" distL="0" distR="0" wp14:anchorId="50F37AAC" wp14:editId="7DEBB834">
            <wp:extent cx="5943600" cy="8604803"/>
            <wp:effectExtent l="0" t="0" r="0" b="6350"/>
            <wp:docPr id="2" name="Picture 2" descr="Figure 1.1 Regional context of Commonwealth land at Badgerys Creek" title="Figure 1.1 Regional context of Commonwealth land at Badgerys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1 Study location.jpg"/>
                    <pic:cNvPicPr/>
                  </pic:nvPicPr>
                  <pic:blipFill rotWithShape="1">
                    <a:blip r:embed="rId21">
                      <a:extLst>
                        <a:ext uri="{28A0092B-C50C-407E-A947-70E740481C1C}">
                          <a14:useLocalDpi xmlns:a14="http://schemas.microsoft.com/office/drawing/2010/main" val="0"/>
                        </a:ext>
                      </a:extLst>
                    </a:blip>
                    <a:srcRect/>
                    <a:stretch/>
                  </pic:blipFill>
                  <pic:spPr bwMode="auto">
                    <a:xfrm>
                      <a:off x="0" y="0"/>
                      <a:ext cx="5950487" cy="8614774"/>
                    </a:xfrm>
                    <a:prstGeom prst="rect">
                      <a:avLst/>
                    </a:prstGeom>
                    <a:ln>
                      <a:noFill/>
                    </a:ln>
                    <a:extLst>
                      <a:ext uri="{53640926-AAD7-44D8-BBD7-CCE9431645EC}">
                        <a14:shadowObscured xmlns:a14="http://schemas.microsoft.com/office/drawing/2010/main"/>
                      </a:ext>
                    </a:extLst>
                  </pic:spPr>
                </pic:pic>
              </a:graphicData>
            </a:graphic>
          </wp:inline>
        </w:drawing>
      </w:r>
    </w:p>
    <w:p w14:paraId="0378DD13" w14:textId="404A20C2" w:rsidR="001C1140" w:rsidRDefault="001C1140" w:rsidP="00E95643">
      <w:pPr>
        <w:pStyle w:val="Caption"/>
        <w:ind w:left="1134" w:hanging="1134"/>
      </w:pPr>
      <w:bookmarkStart w:id="8" w:name="_Toc402441354"/>
      <w:proofErr w:type="gramStart"/>
      <w:r>
        <w:t xml:space="preserve">Figure </w:t>
      </w:r>
      <w:proofErr w:type="gramEnd"/>
      <w:r w:rsidR="001C525C">
        <w:fldChar w:fldCharType="begin"/>
      </w:r>
      <w:r w:rsidR="001C525C">
        <w:instrText xml:space="preserve"> STYLEREF 1 \s </w:instrText>
      </w:r>
      <w:r w:rsidR="001C525C">
        <w:fldChar w:fldCharType="separate"/>
      </w:r>
      <w:r w:rsidR="004E469D">
        <w:rPr>
          <w:noProof/>
        </w:rPr>
        <w:t>1</w:t>
      </w:r>
      <w:r w:rsidR="001C525C">
        <w:rPr>
          <w:noProof/>
        </w:rPr>
        <w:fldChar w:fldCharType="end"/>
      </w:r>
      <w:proofErr w:type="gramStart"/>
      <w:r w:rsidR="00500FAE">
        <w:t>.</w:t>
      </w:r>
      <w:proofErr w:type="gramEnd"/>
      <w:r w:rsidR="001C525C">
        <w:fldChar w:fldCharType="begin"/>
      </w:r>
      <w:r w:rsidR="001C525C">
        <w:instrText xml:space="preserve"> SEQ Figure \* ARABIC \s 1 </w:instrText>
      </w:r>
      <w:r w:rsidR="001C525C">
        <w:fldChar w:fldCharType="separate"/>
      </w:r>
      <w:r w:rsidR="004E469D">
        <w:rPr>
          <w:noProof/>
        </w:rPr>
        <w:t>1</w:t>
      </w:r>
      <w:r w:rsidR="001C525C">
        <w:rPr>
          <w:noProof/>
        </w:rPr>
        <w:fldChar w:fldCharType="end"/>
      </w:r>
      <w:r>
        <w:tab/>
        <w:t>Regional context of Commonwealth land at Badgerys Creek</w:t>
      </w:r>
      <w:bookmarkStart w:id="9" w:name="_Toc400720067"/>
      <w:bookmarkEnd w:id="8"/>
    </w:p>
    <w:p w14:paraId="4026ED5D" w14:textId="3B428F1B" w:rsidR="00510CF5" w:rsidRDefault="00510CF5" w:rsidP="00510CF5">
      <w:pPr>
        <w:pStyle w:val="Heading2"/>
      </w:pPr>
      <w:r>
        <w:t>Legislative context</w:t>
      </w:r>
      <w:bookmarkEnd w:id="9"/>
    </w:p>
    <w:p w14:paraId="276B32CE" w14:textId="5688D7BC" w:rsidR="00AA1557" w:rsidRDefault="00AA1557" w:rsidP="00AA1557">
      <w:pPr>
        <w:pStyle w:val="Heading3"/>
      </w:pPr>
      <w:r>
        <w:t>Commonwealth legislation</w:t>
      </w:r>
    </w:p>
    <w:p w14:paraId="6DAD89D2" w14:textId="2CAE28D8" w:rsidR="00C87291" w:rsidRDefault="00AA1557" w:rsidP="00AA1557">
      <w:pPr>
        <w:pStyle w:val="BodyText"/>
      </w:pPr>
      <w:r>
        <w:t xml:space="preserve">The </w:t>
      </w:r>
      <w:r w:rsidRPr="00AA1557">
        <w:rPr>
          <w:i/>
        </w:rPr>
        <w:t>Environment Protection and Biodiversity Conservation Act 1999</w:t>
      </w:r>
      <w:r>
        <w:t xml:space="preserve"> (EPBC Act) is the Australian Government’s central piece of environmental legislation</w:t>
      </w:r>
      <w:r w:rsidR="001C3221">
        <w:t xml:space="preserve"> and commenced operation on 16 July 2000</w:t>
      </w:r>
      <w:r>
        <w:t xml:space="preserve">. It provides the legal framework to protect and manage nationally and internationally important flora, fauna, ecological communities and heritage places defined in the Act as matters of national environmental significance. In addition, the EPBC Act confers jurisdiction over actions that have a significant impact on the environment where the actions affect, or are taken on, Commonwealth land </w:t>
      </w:r>
      <w:r w:rsidR="004B3C20" w:rsidRPr="004B3C20">
        <w:t>or are undertaken by the Commonwealth or a Commonwealth agency</w:t>
      </w:r>
      <w:r w:rsidR="006F516D">
        <w:t xml:space="preserve">. This applies </w:t>
      </w:r>
      <w:r>
        <w:t>even if that significant impact is not on one of the nine matters of ‘nationa</w:t>
      </w:r>
      <w:r w:rsidR="00C87291">
        <w:t>l environmental significance’.</w:t>
      </w:r>
    </w:p>
    <w:p w14:paraId="52DC9D56" w14:textId="358D3CBE" w:rsidR="00AA1557" w:rsidRDefault="00AA1557" w:rsidP="00AA1557">
      <w:pPr>
        <w:pStyle w:val="BodyText"/>
      </w:pPr>
      <w:r>
        <w:t>The objects of the EPBC Act are:</w:t>
      </w:r>
    </w:p>
    <w:p w14:paraId="748CC0E9" w14:textId="306497C5" w:rsidR="00AA1557" w:rsidRPr="00C87291" w:rsidRDefault="00C87291" w:rsidP="00C87291">
      <w:pPr>
        <w:pStyle w:val="BodyText"/>
        <w:ind w:left="993" w:hanging="567"/>
        <w:rPr>
          <w:i/>
        </w:rPr>
      </w:pPr>
      <w:r w:rsidRPr="00C87291">
        <w:rPr>
          <w:i/>
        </w:rPr>
        <w:t>(a)</w:t>
      </w:r>
      <w:r w:rsidRPr="00C87291">
        <w:rPr>
          <w:i/>
        </w:rPr>
        <w:tab/>
      </w:r>
      <w:proofErr w:type="gramStart"/>
      <w:r w:rsidR="00AA1557" w:rsidRPr="00C87291">
        <w:rPr>
          <w:i/>
        </w:rPr>
        <w:t>to</w:t>
      </w:r>
      <w:proofErr w:type="gramEnd"/>
      <w:r w:rsidR="00AA1557" w:rsidRPr="00C87291">
        <w:rPr>
          <w:i/>
        </w:rPr>
        <w:t xml:space="preserve"> provide for the protection of the environment, especially those aspects of the environment that are matters of national environmental significance; and</w:t>
      </w:r>
    </w:p>
    <w:p w14:paraId="56D18E39" w14:textId="1255BE26" w:rsidR="00AA1557" w:rsidRPr="00C87291" w:rsidRDefault="00C87291" w:rsidP="00C87291">
      <w:pPr>
        <w:pStyle w:val="BodyText"/>
        <w:ind w:left="993" w:hanging="567"/>
        <w:rPr>
          <w:i/>
        </w:rPr>
      </w:pPr>
      <w:r w:rsidRPr="00C87291">
        <w:rPr>
          <w:i/>
        </w:rPr>
        <w:t>(b)</w:t>
      </w:r>
      <w:r w:rsidRPr="00C87291">
        <w:rPr>
          <w:i/>
        </w:rPr>
        <w:tab/>
      </w:r>
      <w:proofErr w:type="gramStart"/>
      <w:r w:rsidR="00AA1557" w:rsidRPr="00C87291">
        <w:rPr>
          <w:i/>
        </w:rPr>
        <w:t>to</w:t>
      </w:r>
      <w:proofErr w:type="gramEnd"/>
      <w:r w:rsidR="00AA1557" w:rsidRPr="00C87291">
        <w:rPr>
          <w:i/>
        </w:rPr>
        <w:t xml:space="preserve"> promote ecologically sustainable development through the conservation and ecologically sustainable use of natural resources; and</w:t>
      </w:r>
    </w:p>
    <w:p w14:paraId="404A09FB" w14:textId="20BE366F" w:rsidR="00AA1557" w:rsidRPr="00C87291" w:rsidRDefault="00C87291" w:rsidP="00C87291">
      <w:pPr>
        <w:pStyle w:val="BodyText"/>
        <w:ind w:left="993" w:hanging="567"/>
        <w:rPr>
          <w:i/>
        </w:rPr>
      </w:pPr>
      <w:r w:rsidRPr="00C87291">
        <w:rPr>
          <w:i/>
        </w:rPr>
        <w:t>(c)</w:t>
      </w:r>
      <w:r w:rsidRPr="00C87291">
        <w:rPr>
          <w:i/>
        </w:rPr>
        <w:tab/>
      </w:r>
      <w:proofErr w:type="gramStart"/>
      <w:r w:rsidR="00AA1557" w:rsidRPr="00C87291">
        <w:rPr>
          <w:i/>
        </w:rPr>
        <w:t>to</w:t>
      </w:r>
      <w:proofErr w:type="gramEnd"/>
      <w:r w:rsidR="00AA1557" w:rsidRPr="00C87291">
        <w:rPr>
          <w:i/>
        </w:rPr>
        <w:t xml:space="preserve"> promote the conservation of biodiversity; and</w:t>
      </w:r>
    </w:p>
    <w:p w14:paraId="736DC3E3" w14:textId="3E963AE7" w:rsidR="00AA1557" w:rsidRPr="00C87291" w:rsidRDefault="00AA1557" w:rsidP="00C87291">
      <w:pPr>
        <w:pStyle w:val="BodyText"/>
        <w:ind w:left="993" w:hanging="567"/>
        <w:rPr>
          <w:i/>
        </w:rPr>
      </w:pPr>
      <w:r w:rsidRPr="00C87291">
        <w:rPr>
          <w:i/>
        </w:rPr>
        <w:t>(ca)</w:t>
      </w:r>
      <w:r w:rsidR="00C87291" w:rsidRPr="00C87291">
        <w:rPr>
          <w:i/>
        </w:rPr>
        <w:tab/>
      </w:r>
      <w:r w:rsidRPr="00C87291">
        <w:rPr>
          <w:i/>
        </w:rPr>
        <w:t>to provide for the protection and conservation of heritage; and</w:t>
      </w:r>
    </w:p>
    <w:p w14:paraId="5500D645" w14:textId="0CD594E7" w:rsidR="00AA1557" w:rsidRPr="00C87291" w:rsidRDefault="00C87291" w:rsidP="00C87291">
      <w:pPr>
        <w:pStyle w:val="BodyText"/>
        <w:ind w:left="993" w:hanging="567"/>
        <w:rPr>
          <w:i/>
        </w:rPr>
      </w:pPr>
      <w:r w:rsidRPr="00C87291">
        <w:rPr>
          <w:i/>
        </w:rPr>
        <w:t>(d)</w:t>
      </w:r>
      <w:r w:rsidRPr="00C87291">
        <w:rPr>
          <w:i/>
        </w:rPr>
        <w:tab/>
      </w:r>
      <w:proofErr w:type="gramStart"/>
      <w:r w:rsidR="00AA1557" w:rsidRPr="00C87291">
        <w:rPr>
          <w:i/>
        </w:rPr>
        <w:t>to</w:t>
      </w:r>
      <w:proofErr w:type="gramEnd"/>
      <w:r w:rsidR="00AA1557" w:rsidRPr="00C87291">
        <w:rPr>
          <w:i/>
        </w:rPr>
        <w:t xml:space="preserve"> promote a co</w:t>
      </w:r>
      <w:r w:rsidR="00944575">
        <w:rPr>
          <w:rFonts w:ascii="MS Gothic" w:eastAsia="MS Gothic" w:hAnsi="MS Gothic" w:cs="MS Gothic"/>
          <w:i/>
        </w:rPr>
        <w:t>-</w:t>
      </w:r>
      <w:r w:rsidR="00AA1557" w:rsidRPr="00C87291">
        <w:rPr>
          <w:i/>
        </w:rPr>
        <w:t>operative approach to the protection and management of the environment involving governments, the community, land</w:t>
      </w:r>
      <w:r w:rsidR="00AA1557" w:rsidRPr="00C87291">
        <w:rPr>
          <w:rFonts w:ascii="MS Gothic" w:eastAsia="MS Gothic" w:hAnsi="MS Gothic" w:cs="MS Gothic" w:hint="eastAsia"/>
          <w:i/>
        </w:rPr>
        <w:t>‑</w:t>
      </w:r>
      <w:r w:rsidR="00AA1557" w:rsidRPr="00C87291">
        <w:rPr>
          <w:i/>
        </w:rPr>
        <w:t>holders and indigenous peoples; and</w:t>
      </w:r>
    </w:p>
    <w:p w14:paraId="1C290A2F" w14:textId="4DC867B0" w:rsidR="00AA1557" w:rsidRPr="00C87291" w:rsidRDefault="00C87291" w:rsidP="00C87291">
      <w:pPr>
        <w:pStyle w:val="BodyText"/>
        <w:ind w:left="993" w:hanging="567"/>
        <w:rPr>
          <w:i/>
        </w:rPr>
      </w:pPr>
      <w:r w:rsidRPr="00C87291">
        <w:rPr>
          <w:i/>
        </w:rPr>
        <w:t>(e)</w:t>
      </w:r>
      <w:r w:rsidRPr="00C87291">
        <w:rPr>
          <w:i/>
        </w:rPr>
        <w:tab/>
      </w:r>
      <w:proofErr w:type="gramStart"/>
      <w:r w:rsidR="00AA1557" w:rsidRPr="00C87291">
        <w:rPr>
          <w:i/>
        </w:rPr>
        <w:t>to</w:t>
      </w:r>
      <w:proofErr w:type="gramEnd"/>
      <w:r w:rsidR="00AA1557" w:rsidRPr="00C87291">
        <w:rPr>
          <w:i/>
        </w:rPr>
        <w:t xml:space="preserve"> assist in the co</w:t>
      </w:r>
      <w:r w:rsidR="00AA1557" w:rsidRPr="00C87291">
        <w:rPr>
          <w:rFonts w:ascii="MS Gothic" w:eastAsia="MS Gothic" w:hAnsi="MS Gothic" w:cs="MS Gothic" w:hint="eastAsia"/>
          <w:i/>
        </w:rPr>
        <w:t>‑</w:t>
      </w:r>
      <w:r w:rsidR="00AA1557" w:rsidRPr="00C87291">
        <w:rPr>
          <w:i/>
        </w:rPr>
        <w:t>operative implementation of Australia</w:t>
      </w:r>
      <w:r w:rsidR="00AA1557" w:rsidRPr="00C87291">
        <w:rPr>
          <w:rFonts w:cs="Calibri"/>
          <w:i/>
        </w:rPr>
        <w:t>’</w:t>
      </w:r>
      <w:r w:rsidR="00AA1557" w:rsidRPr="00C87291">
        <w:rPr>
          <w:i/>
        </w:rPr>
        <w:t>s international environmental responsibilities; and</w:t>
      </w:r>
    </w:p>
    <w:p w14:paraId="6D785CE0" w14:textId="2C9CFCF0" w:rsidR="00AA1557" w:rsidRPr="00C87291" w:rsidRDefault="00C87291" w:rsidP="00C87291">
      <w:pPr>
        <w:pStyle w:val="BodyText"/>
        <w:ind w:left="993" w:hanging="567"/>
        <w:rPr>
          <w:i/>
        </w:rPr>
      </w:pPr>
      <w:r w:rsidRPr="00C87291">
        <w:rPr>
          <w:i/>
        </w:rPr>
        <w:t>(f)</w:t>
      </w:r>
      <w:r w:rsidRPr="00C87291">
        <w:rPr>
          <w:i/>
        </w:rPr>
        <w:tab/>
      </w:r>
      <w:proofErr w:type="gramStart"/>
      <w:r w:rsidR="00AA1557" w:rsidRPr="00C87291">
        <w:rPr>
          <w:i/>
        </w:rPr>
        <w:t>to</w:t>
      </w:r>
      <w:proofErr w:type="gramEnd"/>
      <w:r w:rsidR="00AA1557" w:rsidRPr="00C87291">
        <w:rPr>
          <w:i/>
        </w:rPr>
        <w:t xml:space="preserve"> recognise the role of indigenous people in the conservation and ecologically sustainable use of Australia’s biodiversity; and</w:t>
      </w:r>
    </w:p>
    <w:p w14:paraId="3D8FF93B" w14:textId="297465DE" w:rsidR="00AA1557" w:rsidRPr="00C87291" w:rsidRDefault="00C87291" w:rsidP="00C87291">
      <w:pPr>
        <w:pStyle w:val="BodyText"/>
        <w:ind w:left="993" w:hanging="567"/>
        <w:rPr>
          <w:i/>
        </w:rPr>
      </w:pPr>
      <w:r w:rsidRPr="00C87291">
        <w:rPr>
          <w:i/>
        </w:rPr>
        <w:t>(g)</w:t>
      </w:r>
      <w:r w:rsidRPr="00C87291">
        <w:rPr>
          <w:i/>
        </w:rPr>
        <w:tab/>
      </w:r>
      <w:proofErr w:type="gramStart"/>
      <w:r w:rsidR="00AA1557" w:rsidRPr="00C87291">
        <w:rPr>
          <w:i/>
        </w:rPr>
        <w:t>to</w:t>
      </w:r>
      <w:proofErr w:type="gramEnd"/>
      <w:r w:rsidR="00AA1557" w:rsidRPr="00C87291">
        <w:rPr>
          <w:i/>
        </w:rPr>
        <w:t xml:space="preserve"> promote the use of indigenous peoples’ knowledge of biodiversity with the involvement of, and in co</w:t>
      </w:r>
      <w:r w:rsidR="00AA1557" w:rsidRPr="00C87291">
        <w:rPr>
          <w:rFonts w:ascii="MS Gothic" w:eastAsia="MS Gothic" w:hAnsi="MS Gothic" w:cs="MS Gothic" w:hint="eastAsia"/>
          <w:i/>
        </w:rPr>
        <w:t>‑</w:t>
      </w:r>
      <w:r w:rsidR="00AA1557" w:rsidRPr="00C87291">
        <w:rPr>
          <w:i/>
        </w:rPr>
        <w:t>operation with, the owners of the knowledge.</w:t>
      </w:r>
    </w:p>
    <w:p w14:paraId="57593003" w14:textId="5148EF41" w:rsidR="00AA1557" w:rsidRDefault="00AA1557" w:rsidP="00AA1557">
      <w:pPr>
        <w:pStyle w:val="BodyText"/>
      </w:pPr>
      <w:r>
        <w:t xml:space="preserve">Currently, there are nine matters of national environmental significance </w:t>
      </w:r>
      <w:r w:rsidR="001C3221">
        <w:t xml:space="preserve">(MNES) </w:t>
      </w:r>
      <w:r>
        <w:t>protected under the EPBC Act:</w:t>
      </w:r>
    </w:p>
    <w:p w14:paraId="1393CC4B" w14:textId="0571E1D8" w:rsidR="00AA1557" w:rsidRDefault="00953A97" w:rsidP="00AF0095">
      <w:pPr>
        <w:pStyle w:val="ListBullet"/>
      </w:pPr>
      <w:r>
        <w:t>World H</w:t>
      </w:r>
      <w:r w:rsidR="00944575">
        <w:t>eritage properties</w:t>
      </w:r>
    </w:p>
    <w:p w14:paraId="28110D9F" w14:textId="65A5342D" w:rsidR="00AA1557" w:rsidRDefault="00AA1557" w:rsidP="00AF0095">
      <w:pPr>
        <w:pStyle w:val="ListBullet"/>
      </w:pPr>
      <w:r>
        <w:t xml:space="preserve">National </w:t>
      </w:r>
      <w:r w:rsidR="00953A97">
        <w:t>H</w:t>
      </w:r>
      <w:r w:rsidR="00944575">
        <w:t>eritage places</w:t>
      </w:r>
    </w:p>
    <w:p w14:paraId="31446554" w14:textId="7FF5E4A3" w:rsidR="00AA1557" w:rsidRDefault="00A232C2" w:rsidP="00AF0095">
      <w:pPr>
        <w:pStyle w:val="ListBullet"/>
      </w:pPr>
      <w:r>
        <w:t>w</w:t>
      </w:r>
      <w:r w:rsidR="00AA1557">
        <w:t>etlands of international importance (list</w:t>
      </w:r>
      <w:r w:rsidR="00944575">
        <w:t>ed under the Ramsar Convention)</w:t>
      </w:r>
    </w:p>
    <w:p w14:paraId="27F015D1" w14:textId="2284006A" w:rsidR="00AA1557" w:rsidRDefault="00A232C2" w:rsidP="00AF0095">
      <w:pPr>
        <w:pStyle w:val="ListBullet"/>
      </w:pPr>
      <w:r>
        <w:t>l</w:t>
      </w:r>
      <w:r w:rsidR="00AA1557">
        <w:t>isted threatened spe</w:t>
      </w:r>
      <w:r w:rsidR="00944575">
        <w:t>cies and ecological communities</w:t>
      </w:r>
    </w:p>
    <w:p w14:paraId="4081C5A6" w14:textId="431136CB" w:rsidR="00AA1557" w:rsidRDefault="00A232C2" w:rsidP="00AF0095">
      <w:pPr>
        <w:pStyle w:val="ListBullet"/>
      </w:pPr>
      <w:r>
        <w:t>m</w:t>
      </w:r>
      <w:r w:rsidR="00AA1557">
        <w:t>igratory species protected</w:t>
      </w:r>
      <w:r w:rsidR="00944575">
        <w:t xml:space="preserve"> under international agreements</w:t>
      </w:r>
    </w:p>
    <w:p w14:paraId="4D883929" w14:textId="6B0E272E" w:rsidR="00AA1557" w:rsidRDefault="00944575" w:rsidP="00AF0095">
      <w:pPr>
        <w:pStyle w:val="ListBullet"/>
      </w:pPr>
      <w:r>
        <w:t>Commonwealth marine areas</w:t>
      </w:r>
    </w:p>
    <w:p w14:paraId="7E05BB26" w14:textId="7BB6E8EB" w:rsidR="00AA1557" w:rsidRDefault="00AA1557" w:rsidP="00AF0095">
      <w:pPr>
        <w:pStyle w:val="ListBullet"/>
      </w:pPr>
      <w:r>
        <w:t>The Great Barrier Re</w:t>
      </w:r>
      <w:r w:rsidR="00944575">
        <w:t>ef Marine Park</w:t>
      </w:r>
    </w:p>
    <w:p w14:paraId="3CE9982A" w14:textId="3A356191" w:rsidR="00AA1557" w:rsidRDefault="00A232C2" w:rsidP="00AF0095">
      <w:pPr>
        <w:pStyle w:val="ListBullet"/>
      </w:pPr>
      <w:r>
        <w:t>n</w:t>
      </w:r>
      <w:r w:rsidR="00AA1557">
        <w:t>uclear ac</w:t>
      </w:r>
      <w:r w:rsidR="00944575">
        <w:t>tions (including uranium mines)</w:t>
      </w:r>
    </w:p>
    <w:p w14:paraId="687F6ABB" w14:textId="0CD12ACC" w:rsidR="00AA1557" w:rsidRDefault="00A232C2" w:rsidP="00AF0095">
      <w:pPr>
        <w:pStyle w:val="ListBullet"/>
      </w:pPr>
      <w:proofErr w:type="gramStart"/>
      <w:r>
        <w:t>a</w:t>
      </w:r>
      <w:proofErr w:type="gramEnd"/>
      <w:r w:rsidR="00AA1557">
        <w:t xml:space="preserve"> water resource, in relation to coal seam gas development and </w:t>
      </w:r>
      <w:r w:rsidR="00944575">
        <w:t>large coal mining development.</w:t>
      </w:r>
    </w:p>
    <w:p w14:paraId="5171BB2C" w14:textId="63BAE96B" w:rsidR="00684121" w:rsidRDefault="00684121" w:rsidP="00AA1557">
      <w:pPr>
        <w:pStyle w:val="BodyText"/>
      </w:pPr>
      <w:r>
        <w:t>The EPBC Act provides for a process</w:t>
      </w:r>
      <w:r w:rsidRPr="00684121">
        <w:t xml:space="preserve"> that accredit</w:t>
      </w:r>
      <w:r>
        <w:t>s</w:t>
      </w:r>
      <w:r w:rsidRPr="00684121">
        <w:t xml:space="preserve"> state planning systems under national environmental law, to create a single environmental assessment and approval process</w:t>
      </w:r>
      <w:r>
        <w:t>, referred to as an ‘assessment bilateral agreement’</w:t>
      </w:r>
      <w:r w:rsidRPr="00684121">
        <w:t xml:space="preserve"> for nationally protected matters</w:t>
      </w:r>
      <w:r>
        <w:t xml:space="preserve">. </w:t>
      </w:r>
      <w:r w:rsidR="00E41F2B">
        <w:t xml:space="preserve">It also contains a range of provisions </w:t>
      </w:r>
      <w:r w:rsidR="00E41F2B" w:rsidRPr="00E41F2B">
        <w:t>f</w:t>
      </w:r>
      <w:r w:rsidR="00E41F2B">
        <w:t>or</w:t>
      </w:r>
      <w:r w:rsidR="00E41F2B" w:rsidRPr="00E41F2B">
        <w:t xml:space="preserve"> enforcement mechanisms </w:t>
      </w:r>
      <w:r w:rsidR="00E41F2B">
        <w:t>to</w:t>
      </w:r>
      <w:r w:rsidR="00E41F2B" w:rsidRPr="00E41F2B">
        <w:t xml:space="preserve"> manag</w:t>
      </w:r>
      <w:r w:rsidR="00E41F2B">
        <w:t>e</w:t>
      </w:r>
      <w:r w:rsidR="00E41F2B" w:rsidRPr="00E41F2B">
        <w:t xml:space="preserve"> suspected or identified instances of non-compliance and for review</w:t>
      </w:r>
      <w:r w:rsidR="00E41F2B">
        <w:t>ing</w:t>
      </w:r>
      <w:r w:rsidR="00E41F2B" w:rsidRPr="00E41F2B">
        <w:t xml:space="preserve"> the compliance of referred projects.</w:t>
      </w:r>
    </w:p>
    <w:p w14:paraId="7B2E8237" w14:textId="552C79EC" w:rsidR="00AA1557" w:rsidRDefault="00AA1557" w:rsidP="00AA1557">
      <w:pPr>
        <w:pStyle w:val="BodyText"/>
      </w:pPr>
      <w:r>
        <w:t xml:space="preserve">The previous </w:t>
      </w:r>
      <w:r w:rsidR="00AF0095">
        <w:t>environmental investigations of</w:t>
      </w:r>
      <w:r>
        <w:t xml:space="preserve"> the Badgerys Creek site were undertaken in accordance with the Commonwealth </w:t>
      </w:r>
      <w:r w:rsidRPr="00953A97">
        <w:rPr>
          <w:i/>
        </w:rPr>
        <w:t>Environment Protection (Impact of Proposals) Act 1974</w:t>
      </w:r>
      <w:r w:rsidR="001C3221">
        <w:t xml:space="preserve">. </w:t>
      </w:r>
      <w:r>
        <w:t xml:space="preserve">This Act </w:t>
      </w:r>
      <w:r w:rsidR="001C3221">
        <w:t>ceased operation on 16 July 2000 and w</w:t>
      </w:r>
      <w:r>
        <w:t>as replaced by the EPBC Act. One of the objectives of this study is to assess the existing conditions of the study area i</w:t>
      </w:r>
      <w:r w:rsidR="001C3221">
        <w:t>n the context of the EPBC Act.</w:t>
      </w:r>
    </w:p>
    <w:p w14:paraId="08A3AC75" w14:textId="7FA8FB4F" w:rsidR="003678A0" w:rsidRDefault="003678A0" w:rsidP="00AA1557">
      <w:pPr>
        <w:pStyle w:val="BodyText"/>
      </w:pPr>
      <w:r w:rsidRPr="00C76247">
        <w:t>The Greater Blue Mountains Area is located to the west of the study area and is listed on the W</w:t>
      </w:r>
      <w:r w:rsidR="0089647F">
        <w:t>orld Heritage List (W</w:t>
      </w:r>
      <w:r w:rsidRPr="00C76247">
        <w:t>HL</w:t>
      </w:r>
      <w:r w:rsidR="0089647F">
        <w:t>)</w:t>
      </w:r>
      <w:r w:rsidRPr="00C76247">
        <w:t xml:space="preserve"> and </w:t>
      </w:r>
      <w:r w:rsidR="0089647F">
        <w:t>national Heritage List (</w:t>
      </w:r>
      <w:r w:rsidRPr="00C76247">
        <w:t>NHL</w:t>
      </w:r>
      <w:r w:rsidR="0089647F">
        <w:t>)</w:t>
      </w:r>
      <w:r w:rsidRPr="00C76247">
        <w:t>.</w:t>
      </w:r>
      <w:r>
        <w:t xml:space="preserve"> Discussion on this issue is provided in Section</w:t>
      </w:r>
      <w:r w:rsidR="0089647F">
        <w:t> </w:t>
      </w:r>
      <w:r>
        <w:fldChar w:fldCharType="begin"/>
      </w:r>
      <w:r>
        <w:instrText xml:space="preserve"> REF _Ref400542352 \r \h </w:instrText>
      </w:r>
      <w:r>
        <w:fldChar w:fldCharType="separate"/>
      </w:r>
      <w:r w:rsidR="004E469D">
        <w:t>6.2</w:t>
      </w:r>
      <w:r>
        <w:fldChar w:fldCharType="end"/>
      </w:r>
      <w:r>
        <w:t>.</w:t>
      </w:r>
    </w:p>
    <w:p w14:paraId="4246629B" w14:textId="40C55337" w:rsidR="00AA1557" w:rsidRDefault="00C87291" w:rsidP="00C87291">
      <w:pPr>
        <w:pStyle w:val="Heading3"/>
      </w:pPr>
      <w:r>
        <w:t>Relevant NSW l</w:t>
      </w:r>
      <w:r w:rsidR="00AA1557">
        <w:t>egislation</w:t>
      </w:r>
    </w:p>
    <w:p w14:paraId="2E4EC03F" w14:textId="3061BD29" w:rsidR="00483004" w:rsidRDefault="00483004" w:rsidP="00C87291">
      <w:pPr>
        <w:pStyle w:val="BodyText"/>
      </w:pPr>
      <w:r>
        <w:t xml:space="preserve">As Commonwealth land, management of the Badgerys Creek </w:t>
      </w:r>
      <w:r w:rsidR="006F516D">
        <w:t xml:space="preserve">site </w:t>
      </w:r>
      <w:r>
        <w:t xml:space="preserve">is subject </w:t>
      </w:r>
      <w:r w:rsidR="00591E46">
        <w:t>to Commonwealth legislation</w:t>
      </w:r>
      <w:r w:rsidR="00072E8E">
        <w:t xml:space="preserve"> which generally prevails over NSW legislation.</w:t>
      </w:r>
    </w:p>
    <w:p w14:paraId="76F8DE92" w14:textId="02D39502" w:rsidR="001C3221" w:rsidRPr="00483004" w:rsidRDefault="00483004" w:rsidP="00C87291">
      <w:pPr>
        <w:pStyle w:val="BodyText"/>
      </w:pPr>
      <w:r w:rsidRPr="00483004">
        <w:t>The following is an overview of NSW legislation</w:t>
      </w:r>
      <w:r>
        <w:t xml:space="preserve"> that deals with </w:t>
      </w:r>
      <w:r w:rsidR="00591E46">
        <w:t xml:space="preserve">development and </w:t>
      </w:r>
      <w:r w:rsidR="00072E8E">
        <w:t>environmental management and protection. Comment on specific details of individual legislation on environmental aspects is provided in Sections 2–6 as relevant.</w:t>
      </w:r>
    </w:p>
    <w:p w14:paraId="34B71356" w14:textId="77777777" w:rsidR="004C53E8" w:rsidRDefault="004C53E8" w:rsidP="005613AC">
      <w:pPr>
        <w:pStyle w:val="Subheading"/>
      </w:pPr>
      <w:r>
        <w:t>National Parks and Wildlife Act 1974</w:t>
      </w:r>
    </w:p>
    <w:p w14:paraId="6E6D8BE0" w14:textId="31F98925" w:rsidR="004C53E8" w:rsidRDefault="004C53E8" w:rsidP="004C53E8">
      <w:pPr>
        <w:pStyle w:val="BodyText"/>
      </w:pPr>
      <w:r>
        <w:t xml:space="preserve">The </w:t>
      </w:r>
      <w:r w:rsidRPr="00C87291">
        <w:rPr>
          <w:i/>
        </w:rPr>
        <w:t>National Parks and Wildlife Act 1974</w:t>
      </w:r>
      <w:r>
        <w:t xml:space="preserve"> (NPW Act) sets out the requirements for the conservation of nature, ecosystems, biological diversity, landscapes and landforms and objects, places or features of cultural value within the landscape. It includes specific provisions </w:t>
      </w:r>
      <w:r w:rsidR="00AF0095">
        <w:t>for</w:t>
      </w:r>
      <w:r>
        <w:t xml:space="preserve"> the conservation and care of Aboriginal objects and Aboriginal places. The NPW Act also sets out the responsibilities for the management of national parks.</w:t>
      </w:r>
    </w:p>
    <w:p w14:paraId="4053EA1D" w14:textId="77777777" w:rsidR="004C53E8" w:rsidRDefault="004C53E8" w:rsidP="005613AC">
      <w:pPr>
        <w:pStyle w:val="Subheading"/>
      </w:pPr>
      <w:r>
        <w:t>Heritage Act 1977</w:t>
      </w:r>
    </w:p>
    <w:p w14:paraId="6E4929E2" w14:textId="206D6A03" w:rsidR="004C53E8" w:rsidRDefault="004C53E8" w:rsidP="004C53E8">
      <w:pPr>
        <w:pStyle w:val="BodyText"/>
      </w:pPr>
      <w:r>
        <w:t xml:space="preserve">The </w:t>
      </w:r>
      <w:r w:rsidRPr="00C87291">
        <w:rPr>
          <w:i/>
        </w:rPr>
        <w:t>Heritage Act 1977</w:t>
      </w:r>
      <w:r>
        <w:t xml:space="preserve"> provides protection for heritage places, buildings, works, relics, moveable objects,</w:t>
      </w:r>
      <w:r w:rsidR="00C66A15">
        <w:t xml:space="preserve"> precincts and archaeological sites. </w:t>
      </w:r>
      <w:r>
        <w:t>The Act sets out the responsibilities and requirements for the management of heritage items and places in NSW. The Act provides for the listing and protection of State significant heritage items in the State Heritage Register (SHR). Under the Act, an excavation permit is required for the disturbance or excavation of any relic. Any deposit, object or material evidence relating to the settlement of NSW, not being Aboriginal settlement, that is over 50 years old is classified as a relic under the Act.</w:t>
      </w:r>
    </w:p>
    <w:p w14:paraId="0A653397" w14:textId="77777777" w:rsidR="004C53E8" w:rsidRDefault="004C53E8" w:rsidP="005613AC">
      <w:pPr>
        <w:pStyle w:val="Subheading"/>
      </w:pPr>
      <w:r>
        <w:t>Environmental Planning and Assessment Act 1979</w:t>
      </w:r>
    </w:p>
    <w:p w14:paraId="6778EBAA" w14:textId="77777777" w:rsidR="004C53E8" w:rsidRDefault="004C53E8" w:rsidP="004C53E8">
      <w:pPr>
        <w:pStyle w:val="BodyText"/>
      </w:pPr>
      <w:r>
        <w:t xml:space="preserve">The </w:t>
      </w:r>
      <w:r w:rsidRPr="00C87291">
        <w:rPr>
          <w:i/>
        </w:rPr>
        <w:t>Environme</w:t>
      </w:r>
      <w:r>
        <w:rPr>
          <w:i/>
        </w:rPr>
        <w:t>ntal Planning and Assessment Act</w:t>
      </w:r>
      <w:r w:rsidRPr="00C87291">
        <w:rPr>
          <w:i/>
        </w:rPr>
        <w:t xml:space="preserve"> 1979</w:t>
      </w:r>
      <w:r>
        <w:t xml:space="preserve"> (EP&amp;A Act) is the primary legislation regulating land use in NSW. The EP&amp;A Act provides for environmental planning instruments (EPI) to be made to guide the process of development and to regulate competing land uses. Currently, there are two types of EPIs under the Act:</w:t>
      </w:r>
    </w:p>
    <w:p w14:paraId="24F5C15C" w14:textId="77777777" w:rsidR="004C53E8" w:rsidRDefault="004C53E8" w:rsidP="00AF0095">
      <w:pPr>
        <w:pStyle w:val="ListBullet"/>
      </w:pPr>
      <w:r>
        <w:t>Local environmental plans (LEP) that guide planning decisions for a local government area (LGA)</w:t>
      </w:r>
    </w:p>
    <w:p w14:paraId="0307AFC8" w14:textId="77777777" w:rsidR="004C53E8" w:rsidRDefault="004C53E8" w:rsidP="00AF0095">
      <w:pPr>
        <w:pStyle w:val="ListBullet"/>
      </w:pPr>
      <w:r>
        <w:t>State environmental planning policies (SEPP) that address planning issues of State or regional significance within NSW.</w:t>
      </w:r>
    </w:p>
    <w:p w14:paraId="58EF3876" w14:textId="77777777" w:rsidR="004C53E8" w:rsidRDefault="004C53E8" w:rsidP="004C53E8">
      <w:pPr>
        <w:pStyle w:val="BodyText"/>
      </w:pPr>
      <w:r>
        <w:t>An EPI specifies what type(s) of development are allowed in an area, whether development consent is required and what type of assessment must be undertaken before consent is granted.</w:t>
      </w:r>
    </w:p>
    <w:p w14:paraId="6C55F889" w14:textId="77777777" w:rsidR="004C53E8" w:rsidRDefault="004C53E8" w:rsidP="004C53E8">
      <w:pPr>
        <w:pStyle w:val="BodyText"/>
      </w:pPr>
      <w:r>
        <w:t>The EP&amp;A Act makes a distinction between development undertaken by public authorities and that by other developers. Generally, public authorities are exempted from the need to obtain development consent. However, for proposals where a significant environmental impact is likely approval from the Minster for Planning is required. The application for approval must be supported by an EIS prepared under either Part 5 (for an activity that is not State Significant Infrastructure, SSI) or Part 5.1 (for an activity that is SSI).</w:t>
      </w:r>
    </w:p>
    <w:p w14:paraId="0088880D" w14:textId="77777777" w:rsidR="004C53E8" w:rsidRDefault="004C53E8" w:rsidP="005613AC">
      <w:pPr>
        <w:pStyle w:val="Subheading"/>
      </w:pPr>
      <w:r>
        <w:t>Fisheries Management Act 1994</w:t>
      </w:r>
    </w:p>
    <w:p w14:paraId="10D8091B" w14:textId="77777777" w:rsidR="004C53E8" w:rsidRDefault="004C53E8" w:rsidP="004C53E8">
      <w:pPr>
        <w:pStyle w:val="BodyText"/>
      </w:pPr>
      <w:r>
        <w:t xml:space="preserve">The </w:t>
      </w:r>
      <w:r w:rsidRPr="00C87291">
        <w:rPr>
          <w:i/>
        </w:rPr>
        <w:t>Fisheries Management Act 1994</w:t>
      </w:r>
      <w:r>
        <w:t xml:space="preserve"> protects fishery resources within the State. </w:t>
      </w:r>
      <w:proofErr w:type="gramStart"/>
      <w:r>
        <w:t>The objectives of the Act including the conservation of fish stocks and key fish habitats, threatened species, populations and ecological communities of fish and marine vegetation.</w:t>
      </w:r>
      <w:proofErr w:type="gramEnd"/>
    </w:p>
    <w:p w14:paraId="456B1AC8" w14:textId="77777777" w:rsidR="004C53E8" w:rsidRDefault="004C53E8" w:rsidP="005613AC">
      <w:pPr>
        <w:pStyle w:val="Subheading"/>
      </w:pPr>
      <w:r>
        <w:t>Threatened Species Conservation Act 1995</w:t>
      </w:r>
    </w:p>
    <w:p w14:paraId="38EF3C2E" w14:textId="77777777" w:rsidR="004C53E8" w:rsidRDefault="004C53E8" w:rsidP="004C53E8">
      <w:pPr>
        <w:pStyle w:val="BodyText"/>
      </w:pPr>
      <w:r>
        <w:t xml:space="preserve">The </w:t>
      </w:r>
      <w:r w:rsidRPr="00C87291">
        <w:rPr>
          <w:i/>
        </w:rPr>
        <w:t>Threatened Species Conservation Act 1995</w:t>
      </w:r>
      <w:r>
        <w:t xml:space="preserve"> (TSC Act) aims to conserve biological diversity by protecting and encouraging the conservation of threatened species, populations and ecological communities and their critical habitats.</w:t>
      </w:r>
    </w:p>
    <w:p w14:paraId="50954564" w14:textId="77777777" w:rsidR="004C53E8" w:rsidRDefault="004C53E8" w:rsidP="005613AC">
      <w:pPr>
        <w:pStyle w:val="Subheading"/>
      </w:pPr>
      <w:r>
        <w:t>Protection of the Environment Operations Act 1997</w:t>
      </w:r>
    </w:p>
    <w:p w14:paraId="08E19062" w14:textId="094F0DA4" w:rsidR="002538D2" w:rsidRDefault="004C53E8" w:rsidP="004C53E8">
      <w:pPr>
        <w:pStyle w:val="BodyText"/>
      </w:pPr>
      <w:r>
        <w:t xml:space="preserve">The </w:t>
      </w:r>
      <w:r w:rsidRPr="00C87291">
        <w:rPr>
          <w:i/>
        </w:rPr>
        <w:t>Protection of the Environment Operations Act 1997</w:t>
      </w:r>
      <w:r>
        <w:t xml:space="preserve"> (</w:t>
      </w:r>
      <w:proofErr w:type="spellStart"/>
      <w:r>
        <w:t>PoEO</w:t>
      </w:r>
      <w:proofErr w:type="spellEnd"/>
      <w:r>
        <w:t xml:space="preserve"> Act) is administered by the NSW Environment Protection Authority (EPA). It provides </w:t>
      </w:r>
      <w:r w:rsidR="002538D2">
        <w:t>the legislative framework for the protection of environmental values</w:t>
      </w:r>
      <w:r w:rsidR="00AF0095">
        <w:t xml:space="preserve"> in NSW</w:t>
      </w:r>
      <w:r w:rsidR="002538D2">
        <w:t xml:space="preserve"> including:</w:t>
      </w:r>
    </w:p>
    <w:p w14:paraId="27BFF5E4" w14:textId="2A8D1F6C" w:rsidR="002538D2" w:rsidRDefault="00A232C2" w:rsidP="00AF0095">
      <w:pPr>
        <w:pStyle w:val="ListBullet"/>
      </w:pPr>
      <w:r>
        <w:t>t</w:t>
      </w:r>
      <w:r w:rsidR="002538D2">
        <w:t>he making of protection of the environment policies (PEPs)</w:t>
      </w:r>
    </w:p>
    <w:p w14:paraId="4E68BEA7" w14:textId="7D322B9D" w:rsidR="002538D2" w:rsidRDefault="00A232C2" w:rsidP="00AF0095">
      <w:pPr>
        <w:pStyle w:val="ListBullet"/>
      </w:pPr>
      <w:r>
        <w:t>a</w:t>
      </w:r>
      <w:r w:rsidR="002538D2">
        <w:t>n i</w:t>
      </w:r>
      <w:r w:rsidR="004C53E8">
        <w:t xml:space="preserve">ntegrated system of licensing </w:t>
      </w:r>
      <w:r w:rsidR="002538D2">
        <w:t>for</w:t>
      </w:r>
      <w:r w:rsidR="002538D2" w:rsidRPr="002538D2">
        <w:t xml:space="preserve"> air pollution, water pollution, noise pollution and waste management</w:t>
      </w:r>
    </w:p>
    <w:p w14:paraId="2316FCC0" w14:textId="4F8D6EFE" w:rsidR="002538D2" w:rsidRDefault="00A232C2" w:rsidP="00AF0095">
      <w:pPr>
        <w:pStyle w:val="ListBullet"/>
      </w:pPr>
      <w:r>
        <w:t>a</w:t>
      </w:r>
      <w:r w:rsidR="002538D2">
        <w:t xml:space="preserve"> duty to notify relevant authorities of pollution incidents likely to cause material harm to the environment</w:t>
      </w:r>
    </w:p>
    <w:p w14:paraId="61466CE5" w14:textId="7C5FB7C8" w:rsidR="002538D2" w:rsidRDefault="00A232C2" w:rsidP="00AF0095">
      <w:pPr>
        <w:pStyle w:val="ListBullet"/>
      </w:pPr>
      <w:r>
        <w:t>a</w:t>
      </w:r>
      <w:r w:rsidR="002538D2">
        <w:t>n enforcement framework including powers of investigation, civil enforcement, and sentencing options</w:t>
      </w:r>
    </w:p>
    <w:p w14:paraId="0993EA3E" w14:textId="36683ED3" w:rsidR="004C53E8" w:rsidRDefault="00A232C2" w:rsidP="00AF0095">
      <w:pPr>
        <w:pStyle w:val="ListBullet"/>
      </w:pPr>
      <w:proofErr w:type="gramStart"/>
      <w:r>
        <w:t>t</w:t>
      </w:r>
      <w:r w:rsidR="002538D2">
        <w:t>he</w:t>
      </w:r>
      <w:proofErr w:type="gramEnd"/>
      <w:r w:rsidR="002538D2">
        <w:t xml:space="preserve"> development and implementation of economic measures for environmental protection.</w:t>
      </w:r>
    </w:p>
    <w:p w14:paraId="4928E16A" w14:textId="77777777" w:rsidR="004C53E8" w:rsidRDefault="004C53E8" w:rsidP="005613AC">
      <w:pPr>
        <w:pStyle w:val="Subheading"/>
      </w:pPr>
      <w:r>
        <w:t>Water Management Act, 2000</w:t>
      </w:r>
    </w:p>
    <w:p w14:paraId="405C699D" w14:textId="77777777" w:rsidR="004C53E8" w:rsidRDefault="004C53E8" w:rsidP="004C53E8">
      <w:pPr>
        <w:pStyle w:val="BodyText"/>
      </w:pPr>
      <w:r>
        <w:t xml:space="preserve">The </w:t>
      </w:r>
      <w:r w:rsidRPr="00C87291">
        <w:rPr>
          <w:i/>
        </w:rPr>
        <w:t>Water Management Act 2000</w:t>
      </w:r>
      <w:r>
        <w:t xml:space="preserve"> provides for the sustainable and integrated management of the water sources of the State for the benefit of both present and future generations. The Act controls the extraction of and use of water, the construction of works such as dams and weirs, and the carrying out of activities in or near water sources in NSW. ‘Water sources' are defined broadly and include the whole or any part of a river, lake, estuary, place where water occurs naturally on or below the surface of the ground, and NSW coastal waters.</w:t>
      </w:r>
    </w:p>
    <w:p w14:paraId="69B39DF9" w14:textId="77E8E697" w:rsidR="00AA1557" w:rsidRDefault="00AA1557" w:rsidP="005613AC">
      <w:pPr>
        <w:pStyle w:val="Subheading"/>
      </w:pPr>
      <w:r>
        <w:t>Native Vegetation Act 2003</w:t>
      </w:r>
    </w:p>
    <w:p w14:paraId="1A71596D" w14:textId="2AE7777D" w:rsidR="001B2994" w:rsidRDefault="001B2994" w:rsidP="001B2994">
      <w:pPr>
        <w:pStyle w:val="BodyText"/>
      </w:pPr>
      <w:r>
        <w:t xml:space="preserve">The </w:t>
      </w:r>
      <w:r w:rsidRPr="001B2994">
        <w:rPr>
          <w:i/>
        </w:rPr>
        <w:t>Native Vegetation Act 2003</w:t>
      </w:r>
      <w:r>
        <w:t xml:space="preserve"> commenced operation on 1 December 2005. </w:t>
      </w:r>
      <w:r w:rsidR="00483004">
        <w:t>It provides the statutory framework for the management and protection of native vegetation in NSW.</w:t>
      </w:r>
      <w:r w:rsidR="00E954ED">
        <w:t xml:space="preserve"> </w:t>
      </w:r>
      <w:r w:rsidR="00CF7ECC">
        <w:t xml:space="preserve">The Commonwealth land at Badgerys Creek lies wholly within the Liverpool LGA. </w:t>
      </w:r>
      <w:r w:rsidR="00E954ED" w:rsidRPr="00E954ED">
        <w:t>Schedule 1 to the Act identifies certain land that is excluded from the Act</w:t>
      </w:r>
      <w:r w:rsidR="00CF7ECC">
        <w:t xml:space="preserve"> which</w:t>
      </w:r>
      <w:r w:rsidR="00E954ED" w:rsidRPr="00E954ED">
        <w:t xml:space="preserve"> includes the Liverpool LGA.</w:t>
      </w:r>
    </w:p>
    <w:p w14:paraId="3CE31A3A" w14:textId="7DC5ED68" w:rsidR="001B2994" w:rsidRDefault="001B2994" w:rsidP="001B2994">
      <w:pPr>
        <w:pStyle w:val="BodyText"/>
      </w:pPr>
      <w:r>
        <w:t>A</w:t>
      </w:r>
      <w:r w:rsidR="00E51B43">
        <w:t>t</w:t>
      </w:r>
      <w:r>
        <w:t xml:space="preserve"> the time of preparation of the Draft EIS and Supplement to the Draft EIS, the prevailing NSW legislation was the </w:t>
      </w:r>
      <w:r w:rsidRPr="001B2994">
        <w:rPr>
          <w:i/>
        </w:rPr>
        <w:t>Native Vegetation Conservation Act 1997</w:t>
      </w:r>
      <w:r>
        <w:t xml:space="preserve">. This Act was repealed in </w:t>
      </w:r>
      <w:proofErr w:type="gramStart"/>
      <w:r>
        <w:t>2005,</w:t>
      </w:r>
      <w:proofErr w:type="gramEnd"/>
      <w:r>
        <w:t xml:space="preserve"> however, it still has effect in relation to:</w:t>
      </w:r>
    </w:p>
    <w:p w14:paraId="0533ECE2" w14:textId="7F6667E5" w:rsidR="001B2994" w:rsidRDefault="00A232C2" w:rsidP="00AF0095">
      <w:pPr>
        <w:pStyle w:val="ListBullet"/>
      </w:pPr>
      <w:r>
        <w:t>c</w:t>
      </w:r>
      <w:r w:rsidR="001B2994">
        <w:t xml:space="preserve">learing living native vegetation on State Protected Land in local government areas specified in Schedule 1 to the </w:t>
      </w:r>
      <w:r w:rsidR="00483004" w:rsidRPr="001B2994">
        <w:rPr>
          <w:i/>
        </w:rPr>
        <w:t>Native Vegetation Conservation Act 1997</w:t>
      </w:r>
      <w:r w:rsidR="001B2994">
        <w:t xml:space="preserve"> (</w:t>
      </w:r>
      <w:r w:rsidR="00483004">
        <w:t xml:space="preserve">which </w:t>
      </w:r>
      <w:r w:rsidR="001B2994">
        <w:t>includ</w:t>
      </w:r>
      <w:r w:rsidR="00483004">
        <w:t>es</w:t>
      </w:r>
      <w:r w:rsidR="00944575">
        <w:t xml:space="preserve"> the Sydney metropolitan area)</w:t>
      </w:r>
    </w:p>
    <w:p w14:paraId="69DC93A8" w14:textId="7B48A5EC" w:rsidR="001B2994" w:rsidRDefault="00A232C2" w:rsidP="00AF0095">
      <w:pPr>
        <w:pStyle w:val="ListBullet"/>
      </w:pPr>
      <w:r>
        <w:t>c</w:t>
      </w:r>
      <w:r w:rsidR="001B2994">
        <w:t>learing exotic and dead trees on State Protected Land (apart from clearing in circumstances set out in guidelines approved and published by the Minister to enable clearing where no minima</w:t>
      </w:r>
      <w:r w:rsidR="00944575">
        <w:t>l environmental harm is likely)</w:t>
      </w:r>
    </w:p>
    <w:p w14:paraId="68ABBEFE" w14:textId="302958DB" w:rsidR="001B2994" w:rsidRDefault="00A232C2" w:rsidP="00AF0095">
      <w:pPr>
        <w:pStyle w:val="ListBullet"/>
      </w:pPr>
      <w:proofErr w:type="gramStart"/>
      <w:r>
        <w:t>s</w:t>
      </w:r>
      <w:r w:rsidR="001B2994">
        <w:t>ome</w:t>
      </w:r>
      <w:proofErr w:type="gramEnd"/>
      <w:r w:rsidR="001B2994">
        <w:t xml:space="preserve"> private native forestry development consents issued under the </w:t>
      </w:r>
      <w:r w:rsidR="001B2994" w:rsidRPr="001B2994">
        <w:rPr>
          <w:i/>
        </w:rPr>
        <w:t>Native Vegetation Conservation Act 1997</w:t>
      </w:r>
      <w:r w:rsidR="001B2994">
        <w:t>.</w:t>
      </w:r>
    </w:p>
    <w:p w14:paraId="0CADAE98" w14:textId="2DFEF04B" w:rsidR="003B00DE" w:rsidRDefault="003B00DE" w:rsidP="003B00DE">
      <w:pPr>
        <w:pStyle w:val="Heading2"/>
      </w:pPr>
      <w:bookmarkStart w:id="10" w:name="_Toc400720068"/>
      <w:r>
        <w:t>Previous investigations</w:t>
      </w:r>
      <w:bookmarkEnd w:id="10"/>
    </w:p>
    <w:p w14:paraId="1BD7CA17" w14:textId="29E9B546" w:rsidR="000F3679" w:rsidRDefault="000F3679" w:rsidP="00FB1A67">
      <w:pPr>
        <w:pStyle w:val="BodyText"/>
        <w:keepNext/>
      </w:pPr>
      <w:r>
        <w:t xml:space="preserve">The Badgerys Creek </w:t>
      </w:r>
      <w:r w:rsidR="00CE6544">
        <w:t xml:space="preserve">site </w:t>
      </w:r>
      <w:r>
        <w:t>has been the subject of a number of</w:t>
      </w:r>
      <w:r w:rsidR="00CE6544">
        <w:t xml:space="preserve"> previous</w:t>
      </w:r>
      <w:r>
        <w:t xml:space="preserve"> investigations including:</w:t>
      </w:r>
    </w:p>
    <w:p w14:paraId="40709D30" w14:textId="3E194D88" w:rsidR="000F3679" w:rsidRDefault="00A232C2" w:rsidP="00AF0095">
      <w:pPr>
        <w:pStyle w:val="ListBullet"/>
      </w:pPr>
      <w:r>
        <w:t>t</w:t>
      </w:r>
      <w:r w:rsidR="004E6F0D">
        <w:t>he Draft EIS</w:t>
      </w:r>
      <w:r w:rsidR="000F3679">
        <w:t xml:space="preserve"> </w:t>
      </w:r>
      <w:r w:rsidR="006F516D">
        <w:t xml:space="preserve">and </w:t>
      </w:r>
      <w:r w:rsidR="00AF0095">
        <w:t xml:space="preserve">Supplement to the Draft EIS </w:t>
      </w:r>
      <w:r w:rsidR="000F3679">
        <w:t>prepared in 1985 which examined a number of possible locations that would be suitable for a major airport</w:t>
      </w:r>
      <w:r w:rsidR="004E6F0D">
        <w:t xml:space="preserve">, </w:t>
      </w:r>
      <w:r w:rsidR="000F3679">
        <w:t>i</w:t>
      </w:r>
      <w:r w:rsidR="004E6F0D">
        <w:t>ncluding the Badgerys Creek site</w:t>
      </w:r>
      <w:r w:rsidR="004E6F0D">
        <w:rPr>
          <w:rStyle w:val="FootnoteReference"/>
        </w:rPr>
        <w:footnoteReference w:id="1"/>
      </w:r>
    </w:p>
    <w:p w14:paraId="33E6CEEC" w14:textId="481CC0FF" w:rsidR="004E6F0D" w:rsidRDefault="00A232C2" w:rsidP="00AF0095">
      <w:pPr>
        <w:pStyle w:val="ListBullet"/>
      </w:pPr>
      <w:r>
        <w:t>t</w:t>
      </w:r>
      <w:r w:rsidR="004E6F0D">
        <w:t>he Draft EIS</w:t>
      </w:r>
      <w:r w:rsidR="000F3679">
        <w:t xml:space="preserve"> completed in 199</w:t>
      </w:r>
      <w:r w:rsidR="004E6F0D">
        <w:t>7</w:t>
      </w:r>
      <w:r w:rsidR="000F3679">
        <w:t xml:space="preserve"> which examined the alternatives for an airport at the Badgerys Creek site</w:t>
      </w:r>
      <w:r w:rsidR="004E6F0D">
        <w:t xml:space="preserve"> (</w:t>
      </w:r>
      <w:r w:rsidR="000F3679">
        <w:t xml:space="preserve">Option A in this EIS </w:t>
      </w:r>
      <w:r w:rsidR="00AF0095">
        <w:t>approximates</w:t>
      </w:r>
      <w:r w:rsidR="000F3679">
        <w:t xml:space="preserve"> the</w:t>
      </w:r>
      <w:r w:rsidR="004E6F0D">
        <w:t xml:space="preserve"> current extent of Commonwealth land at Badgerys Creek)</w:t>
      </w:r>
    </w:p>
    <w:p w14:paraId="74134ECC" w14:textId="2B80D16C" w:rsidR="004E6F0D" w:rsidRDefault="00A232C2" w:rsidP="00AF0095">
      <w:pPr>
        <w:pStyle w:val="ListBullet"/>
      </w:pPr>
      <w:r>
        <w:t>t</w:t>
      </w:r>
      <w:r w:rsidR="004E6F0D">
        <w:t xml:space="preserve">he Supplement to the Draft EIS prepared in 1999 which </w:t>
      </w:r>
      <w:r w:rsidR="004E6F0D" w:rsidRPr="004E6F0D">
        <w:t>summarised the findings of the 1997 Draft EIS and</w:t>
      </w:r>
      <w:r w:rsidR="004E6F0D">
        <w:t xml:space="preserve"> provided additional information in response to issues raised in submissions and the findings of an audit undertaken in 1998 on the Draft EIS</w:t>
      </w:r>
    </w:p>
    <w:p w14:paraId="47C656F3" w14:textId="72F62481" w:rsidR="000F3679" w:rsidRDefault="00A232C2" w:rsidP="00AF0095">
      <w:pPr>
        <w:pStyle w:val="ListBullet"/>
      </w:pPr>
      <w:r>
        <w:t>a</w:t>
      </w:r>
      <w:r w:rsidR="000F3679">
        <w:t xml:space="preserve">udit reports prepared by SMEC in 1998 and 1999 which independently evaluated the appropriateness and adequacy of the data and methodologies in the draft </w:t>
      </w:r>
      <w:r w:rsidR="004E6F0D">
        <w:t>and supplementary EIS reports</w:t>
      </w:r>
    </w:p>
    <w:p w14:paraId="1F02948D" w14:textId="1B5C3640" w:rsidR="000F3679" w:rsidRDefault="00A232C2" w:rsidP="00AF0095">
      <w:pPr>
        <w:pStyle w:val="ListBullet"/>
      </w:pPr>
      <w:r>
        <w:t>t</w:t>
      </w:r>
      <w:r w:rsidR="000F3679">
        <w:t xml:space="preserve">he </w:t>
      </w:r>
      <w:r w:rsidR="000F3679" w:rsidRPr="006F516D">
        <w:rPr>
          <w:i/>
        </w:rPr>
        <w:t xml:space="preserve">Joint Study on </w:t>
      </w:r>
      <w:r w:rsidR="006F516D" w:rsidRPr="006F516D">
        <w:rPr>
          <w:i/>
        </w:rPr>
        <w:t>A</w:t>
      </w:r>
      <w:r w:rsidR="000F3679" w:rsidRPr="006F516D">
        <w:rPr>
          <w:i/>
        </w:rPr>
        <w:t xml:space="preserve">viation </w:t>
      </w:r>
      <w:r w:rsidR="006F516D" w:rsidRPr="006F516D">
        <w:rPr>
          <w:i/>
        </w:rPr>
        <w:t>C</w:t>
      </w:r>
      <w:r w:rsidR="000F3679" w:rsidRPr="006F516D">
        <w:rPr>
          <w:i/>
        </w:rPr>
        <w:t>apacity in the Sydney Re</w:t>
      </w:r>
      <w:r w:rsidR="004E6F0D" w:rsidRPr="006F516D">
        <w:rPr>
          <w:i/>
        </w:rPr>
        <w:t>gion</w:t>
      </w:r>
      <w:r w:rsidR="004E6F0D">
        <w:t xml:space="preserve"> prepared in 2012</w:t>
      </w:r>
    </w:p>
    <w:p w14:paraId="4109AAC2" w14:textId="1E33AEB2" w:rsidR="000F3679" w:rsidRDefault="00A232C2" w:rsidP="00AF0095">
      <w:pPr>
        <w:pStyle w:val="ListBullet"/>
      </w:pPr>
      <w:proofErr w:type="gramStart"/>
      <w:r>
        <w:t>a</w:t>
      </w:r>
      <w:proofErr w:type="gramEnd"/>
      <w:r w:rsidR="000F3679">
        <w:t xml:space="preserve"> study of Wilton and RAAF Base Richmond prepared in 2013.</w:t>
      </w:r>
    </w:p>
    <w:p w14:paraId="3815C637" w14:textId="498B0E97" w:rsidR="004E6F0D" w:rsidRPr="00222BA8" w:rsidRDefault="00222BA8" w:rsidP="000F3679">
      <w:pPr>
        <w:pStyle w:val="BodyText"/>
      </w:pPr>
      <w:r>
        <w:t>Preparation of this report</w:t>
      </w:r>
      <w:r w:rsidR="004E6F0D" w:rsidRPr="00222BA8">
        <w:t xml:space="preserve"> has also made reference</w:t>
      </w:r>
      <w:r>
        <w:t>, as appropriate,</w:t>
      </w:r>
      <w:r w:rsidR="004E6F0D" w:rsidRPr="00222BA8">
        <w:t xml:space="preserve"> to the assessment report prepa</w:t>
      </w:r>
      <w:r>
        <w:t>red by Environment Australia in July 1999 with regard to the Draft EIS and Supplement to the Draft EIS.</w:t>
      </w:r>
    </w:p>
    <w:p w14:paraId="3B85FE47" w14:textId="1E78CC2D" w:rsidR="00C475E9" w:rsidRDefault="00C475E9" w:rsidP="00C475E9">
      <w:pPr>
        <w:pStyle w:val="Heading2"/>
      </w:pPr>
      <w:bookmarkStart w:id="11" w:name="_Toc400720069"/>
      <w:r>
        <w:t>Study area</w:t>
      </w:r>
      <w:bookmarkEnd w:id="11"/>
    </w:p>
    <w:p w14:paraId="0217BF9C" w14:textId="179732E7" w:rsidR="00C00AB1" w:rsidRDefault="00C00AB1" w:rsidP="00C00AB1">
      <w:pPr>
        <w:pStyle w:val="BodyText"/>
      </w:pPr>
      <w:r>
        <w:t xml:space="preserve">The study area for this environmental survey </w:t>
      </w:r>
      <w:r w:rsidR="00DB649C">
        <w:t>generally comprises</w:t>
      </w:r>
      <w:r>
        <w:t xml:space="preserve"> </w:t>
      </w:r>
      <w:r w:rsidR="00222BA8">
        <w:t xml:space="preserve">the </w:t>
      </w:r>
      <w:r>
        <w:t xml:space="preserve">Commonwealth </w:t>
      </w:r>
      <w:r w:rsidR="001C1140">
        <w:t xml:space="preserve">owned </w:t>
      </w:r>
      <w:r>
        <w:t>land at Badgerys Creek as shown in</w:t>
      </w:r>
      <w:r w:rsidR="00E954ED">
        <w:t xml:space="preserve"> </w:t>
      </w:r>
      <w:r w:rsidR="00E954ED">
        <w:fldChar w:fldCharType="begin"/>
      </w:r>
      <w:r w:rsidR="00E954ED">
        <w:instrText xml:space="preserve"> REF _Ref400024802 \h </w:instrText>
      </w:r>
      <w:r w:rsidR="00E954ED">
        <w:fldChar w:fldCharType="separate"/>
      </w:r>
      <w:r w:rsidR="004E469D">
        <w:t xml:space="preserve">Figure </w:t>
      </w:r>
      <w:r w:rsidR="004E469D">
        <w:rPr>
          <w:noProof/>
        </w:rPr>
        <w:t>1</w:t>
      </w:r>
      <w:r w:rsidR="004E469D">
        <w:t>.</w:t>
      </w:r>
      <w:r w:rsidR="004E469D">
        <w:rPr>
          <w:noProof/>
        </w:rPr>
        <w:t>2</w:t>
      </w:r>
      <w:r w:rsidR="00E954ED">
        <w:fldChar w:fldCharType="end"/>
      </w:r>
      <w:r>
        <w:t xml:space="preserve">. </w:t>
      </w:r>
      <w:r w:rsidR="001C1140" w:rsidRPr="001C1140">
        <w:t>The study area includes the creeks bordering the site and the land immediately adjacent to The Northern Road, within the Commonwealth land, also known as Lot 1 DP838361. The areas adjacent to the Commonwealth-owned land comprising parts of Badgerys Creek, Luddenham and Bringelly are iden</w:t>
      </w:r>
      <w:r w:rsidR="001C1140">
        <w:t>tified in this report as being in the vicinity of the Commonwealth land.</w:t>
      </w:r>
    </w:p>
    <w:p w14:paraId="2EA7E50A" w14:textId="3C75B3F8" w:rsidR="00FB1A67" w:rsidRDefault="00FB1A67" w:rsidP="00FB1A67">
      <w:pPr>
        <w:pStyle w:val="BodyText"/>
      </w:pPr>
      <w:r>
        <w:t xml:space="preserve">The study area is located within the Liverpool LGA and is about 50 kilometres west of the Sydney CBD, 15 kilometres west of the Liverpool town centre, and about 12 kilometres south of Penrith. To the west of the site lies the Nepean River and the Blue Mountains, including the Greater Blue </w:t>
      </w:r>
      <w:r w:rsidR="00327332">
        <w:t xml:space="preserve">Mountains World Heritage Area. </w:t>
      </w:r>
      <w:r>
        <w:t>The site is adjacent to the north-western boundary of the South West Growth Centre and at the far western edge of the Western Sydney Employment Area.</w:t>
      </w:r>
    </w:p>
    <w:p w14:paraId="7A0A823A" w14:textId="2CC9E5A2" w:rsidR="00FB1A67" w:rsidRDefault="00FB1A67" w:rsidP="00FB1A67">
      <w:pPr>
        <w:pStyle w:val="BodyText"/>
      </w:pPr>
      <w:r>
        <w:t>The land is about 1,700 hectares in size and is curren</w:t>
      </w:r>
      <w:r w:rsidR="006F516D">
        <w:t>tly tenanted. There are about 20</w:t>
      </w:r>
      <w:r>
        <w:t>0 short term residential rural and commercial leases. Commercial leases include grazing, horse agistment, a winery, shop, piggery, duck farm</w:t>
      </w:r>
      <w:r w:rsidR="00580EB3">
        <w:t>ing,</w:t>
      </w:r>
      <w:r>
        <w:t xml:space="preserve"> </w:t>
      </w:r>
      <w:r w:rsidR="00580EB3" w:rsidRPr="00580EB3">
        <w:t xml:space="preserve">quarrying, irrigation, landfilling </w:t>
      </w:r>
      <w:r>
        <w:t>and market gardens. The majority of the properties are rural residential of about two hectares or greater.</w:t>
      </w:r>
    </w:p>
    <w:p w14:paraId="0032E3DC" w14:textId="77777777" w:rsidR="00FB1A67" w:rsidRDefault="00FB1A67" w:rsidP="00FB1A67">
      <w:pPr>
        <w:pStyle w:val="BodyText"/>
      </w:pPr>
      <w:r>
        <w:t>The general area is undulating, with rolling hills and valleys, large areas of grassland, and some areas of flat land. The main land uses are various agricultural purposes and low density rural residential development. The study area is within the catchment of South Creek which flows generally northward into the Hawkesbury River.</w:t>
      </w:r>
    </w:p>
    <w:p w14:paraId="578101A9" w14:textId="7434EBE5" w:rsidR="001C1140" w:rsidRDefault="001C1140" w:rsidP="00077952">
      <w:pPr>
        <w:pStyle w:val="BodyText"/>
      </w:pPr>
      <w:r>
        <w:br w:type="page"/>
      </w:r>
    </w:p>
    <w:p w14:paraId="2D4AB364" w14:textId="397BED57" w:rsidR="00077952" w:rsidRDefault="00F03397" w:rsidP="00F03397">
      <w:pPr>
        <w:pStyle w:val="BodyText"/>
        <w:ind w:left="-284"/>
        <w:jc w:val="center"/>
      </w:pPr>
      <w:r>
        <w:rPr>
          <w:noProof/>
          <w:lang w:eastAsia="en-AU"/>
        </w:rPr>
        <w:drawing>
          <wp:inline distT="0" distB="0" distL="0" distR="0" wp14:anchorId="624CFDCB" wp14:editId="5FE5E776">
            <wp:extent cx="5819775" cy="8566017"/>
            <wp:effectExtent l="0" t="0" r="0" b="6985"/>
            <wp:docPr id="1" name="Picture 1" descr="Figure 1.2 Study area" title="Figure 1.2 Stud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2 Investigations area.jpg"/>
                    <pic:cNvPicPr/>
                  </pic:nvPicPr>
                  <pic:blipFill rotWithShape="1">
                    <a:blip r:embed="rId22">
                      <a:extLst>
                        <a:ext uri="{28A0092B-C50C-407E-A947-70E740481C1C}">
                          <a14:useLocalDpi xmlns:a14="http://schemas.microsoft.com/office/drawing/2010/main" val="0"/>
                        </a:ext>
                      </a:extLst>
                    </a:blip>
                    <a:srcRect/>
                    <a:stretch/>
                  </pic:blipFill>
                  <pic:spPr bwMode="auto">
                    <a:xfrm>
                      <a:off x="0" y="0"/>
                      <a:ext cx="5820623" cy="8567266"/>
                    </a:xfrm>
                    <a:prstGeom prst="rect">
                      <a:avLst/>
                    </a:prstGeom>
                    <a:ln>
                      <a:noFill/>
                    </a:ln>
                    <a:extLst>
                      <a:ext uri="{53640926-AAD7-44D8-BBD7-CCE9431645EC}">
                        <a14:shadowObscured xmlns:a14="http://schemas.microsoft.com/office/drawing/2010/main"/>
                      </a:ext>
                    </a:extLst>
                  </pic:spPr>
                </pic:pic>
              </a:graphicData>
            </a:graphic>
          </wp:inline>
        </w:drawing>
      </w:r>
    </w:p>
    <w:p w14:paraId="0E7FA9E9" w14:textId="00D3762E" w:rsidR="00077952" w:rsidRDefault="00077952" w:rsidP="00F03397">
      <w:pPr>
        <w:pStyle w:val="Caption"/>
        <w:spacing w:after="0"/>
        <w:ind w:left="1134" w:hanging="1134"/>
      </w:pPr>
      <w:bookmarkStart w:id="12" w:name="_Ref400024802"/>
      <w:bookmarkStart w:id="13" w:name="_Toc402441355"/>
      <w:proofErr w:type="gramStart"/>
      <w:r>
        <w:t xml:space="preserve">Figure </w:t>
      </w:r>
      <w:proofErr w:type="gramEnd"/>
      <w:r w:rsidR="001C525C">
        <w:fldChar w:fldCharType="begin"/>
      </w:r>
      <w:r w:rsidR="001C525C">
        <w:instrText xml:space="preserve"> STYLEREF 1 \s </w:instrText>
      </w:r>
      <w:r w:rsidR="001C525C">
        <w:fldChar w:fldCharType="separate"/>
      </w:r>
      <w:r w:rsidR="004E469D">
        <w:rPr>
          <w:noProof/>
        </w:rPr>
        <w:t>1</w:t>
      </w:r>
      <w:r w:rsidR="001C525C">
        <w:rPr>
          <w:noProof/>
        </w:rPr>
        <w:fldChar w:fldCharType="end"/>
      </w:r>
      <w:proofErr w:type="gramStart"/>
      <w:r w:rsidR="00500FAE">
        <w:t>.</w:t>
      </w:r>
      <w:proofErr w:type="gramEnd"/>
      <w:r w:rsidR="001C525C">
        <w:fldChar w:fldCharType="begin"/>
      </w:r>
      <w:r w:rsidR="001C525C">
        <w:instrText xml:space="preserve"> SEQ Figure \* ARABIC \s 1 </w:instrText>
      </w:r>
      <w:r w:rsidR="001C525C">
        <w:fldChar w:fldCharType="separate"/>
      </w:r>
      <w:r w:rsidR="004E469D">
        <w:rPr>
          <w:noProof/>
        </w:rPr>
        <w:t>2</w:t>
      </w:r>
      <w:r w:rsidR="001C525C">
        <w:rPr>
          <w:noProof/>
        </w:rPr>
        <w:fldChar w:fldCharType="end"/>
      </w:r>
      <w:bookmarkEnd w:id="12"/>
      <w:r w:rsidR="00F2414A">
        <w:tab/>
      </w:r>
      <w:r w:rsidR="004F1E44">
        <w:t>Study area</w:t>
      </w:r>
      <w:bookmarkEnd w:id="13"/>
    </w:p>
    <w:p w14:paraId="752D327E" w14:textId="591208AC" w:rsidR="00854C93" w:rsidRDefault="00854C93" w:rsidP="00854C93">
      <w:pPr>
        <w:pStyle w:val="Heading2"/>
      </w:pPr>
      <w:r>
        <w:t>Risk assessment</w:t>
      </w:r>
    </w:p>
    <w:p w14:paraId="5A9B3B07" w14:textId="77777777" w:rsidR="00D878D3" w:rsidRDefault="00EF76BA" w:rsidP="00077952">
      <w:pPr>
        <w:pStyle w:val="BodyText"/>
      </w:pPr>
      <w:r>
        <w:t xml:space="preserve">An early activity involved developing an understanding of the issues and risks associated with undertaking the project services and achieving the project objectives. This was undertaken by way of a risk assessment </w:t>
      </w:r>
      <w:r w:rsidR="00D878D3">
        <w:t>that considered</w:t>
      </w:r>
      <w:r>
        <w:t xml:space="preserve"> </w:t>
      </w:r>
      <w:r w:rsidR="00D878D3">
        <w:t>the</w:t>
      </w:r>
      <w:r>
        <w:t xml:space="preserve"> likelihood of events and the consequence of outcomes in line with the accepted methodology of such risk assessments.</w:t>
      </w:r>
    </w:p>
    <w:p w14:paraId="1240F631" w14:textId="10346379" w:rsidR="00EF76BA" w:rsidRDefault="00EF76BA" w:rsidP="00077952">
      <w:pPr>
        <w:pStyle w:val="BodyText"/>
      </w:pPr>
      <w:r w:rsidRPr="00EF76BA">
        <w:t>Likelihood and consequence descriptors</w:t>
      </w:r>
      <w:r>
        <w:t xml:space="preserve"> are provided in the following tables.</w:t>
      </w:r>
    </w:p>
    <w:p w14:paraId="6DC65EB5" w14:textId="1C0C70E1" w:rsidR="00EF76BA" w:rsidRDefault="00EF76BA" w:rsidP="00750665">
      <w:pPr>
        <w:pStyle w:val="Caption"/>
        <w:ind w:left="1134" w:hanging="1134"/>
      </w:pPr>
      <w:bookmarkStart w:id="14" w:name="_Toc402442832"/>
      <w:proofErr w:type="gramStart"/>
      <w:r>
        <w:t xml:space="preserve">Table </w:t>
      </w:r>
      <w:proofErr w:type="gramEnd"/>
      <w:r w:rsidR="001C525C">
        <w:fldChar w:fldCharType="begin"/>
      </w:r>
      <w:r w:rsidR="001C525C">
        <w:instrText xml:space="preserve"> STYLEREF 1 \s </w:instrText>
      </w:r>
      <w:r w:rsidR="001C525C">
        <w:fldChar w:fldCharType="separate"/>
      </w:r>
      <w:r w:rsidR="004E469D">
        <w:rPr>
          <w:noProof/>
        </w:rPr>
        <w:t>1</w:t>
      </w:r>
      <w:r w:rsidR="001C525C">
        <w:rPr>
          <w:noProof/>
        </w:rPr>
        <w:fldChar w:fldCharType="end"/>
      </w:r>
      <w:proofErr w:type="gramStart"/>
      <w:r>
        <w:t>.</w:t>
      </w:r>
      <w:proofErr w:type="gramEnd"/>
      <w:r w:rsidR="001C525C">
        <w:fldChar w:fldCharType="begin"/>
      </w:r>
      <w:r w:rsidR="001C525C">
        <w:instrText xml:space="preserve"> SEQ Table \* ARABIC \s 1 </w:instrText>
      </w:r>
      <w:r w:rsidR="001C525C">
        <w:fldChar w:fldCharType="separate"/>
      </w:r>
      <w:r w:rsidR="004E469D">
        <w:rPr>
          <w:noProof/>
        </w:rPr>
        <w:t>1</w:t>
      </w:r>
      <w:r w:rsidR="001C525C">
        <w:rPr>
          <w:noProof/>
        </w:rPr>
        <w:fldChar w:fldCharType="end"/>
      </w:r>
      <w:r w:rsidR="00750665">
        <w:tab/>
        <w:t>Likelihood descriptors</w:t>
      </w:r>
      <w:bookmarkEnd w:id="14"/>
    </w:p>
    <w:tbl>
      <w:tblPr>
        <w:tblStyle w:val="TableGrid"/>
        <w:tblW w:w="9308" w:type="dxa"/>
        <w:tblBorders>
          <w:bottom w:val="single" w:sz="4" w:space="0" w:color="auto"/>
        </w:tblBorders>
        <w:tblLook w:val="04A0" w:firstRow="1" w:lastRow="0" w:firstColumn="1" w:lastColumn="0" w:noHBand="0" w:noVBand="1"/>
        <w:tblCaption w:val="Table 1.1 Likelihood descriptors"/>
        <w:tblDescription w:val="Table 1.1 Likelihood descriptors"/>
      </w:tblPr>
      <w:tblGrid>
        <w:gridCol w:w="1951"/>
        <w:gridCol w:w="7357"/>
      </w:tblGrid>
      <w:tr w:rsidR="00EF76BA" w:rsidRPr="0041025C" w14:paraId="7A662761" w14:textId="77777777" w:rsidTr="00151EBE">
        <w:trPr>
          <w:trHeight w:val="340"/>
          <w:tblHeader/>
        </w:trPr>
        <w:tc>
          <w:tcPr>
            <w:tcW w:w="1951" w:type="dxa"/>
          </w:tcPr>
          <w:p w14:paraId="3B12CD29" w14:textId="7B963A97" w:rsidR="00EF76BA" w:rsidRPr="00EF76BA" w:rsidRDefault="00EF76BA" w:rsidP="00750665">
            <w:pPr>
              <w:pStyle w:val="TableHeader"/>
            </w:pPr>
            <w:r>
              <w:t>Likelihood</w:t>
            </w:r>
          </w:p>
        </w:tc>
        <w:tc>
          <w:tcPr>
            <w:tcW w:w="7357" w:type="dxa"/>
          </w:tcPr>
          <w:p w14:paraId="5B5581EC" w14:textId="5BA5ED23" w:rsidR="00EF76BA" w:rsidRPr="00EF76BA" w:rsidRDefault="00EF76BA" w:rsidP="00EF76BA">
            <w:pPr>
              <w:pStyle w:val="TableHeader"/>
            </w:pPr>
            <w:r>
              <w:t>Definition</w:t>
            </w:r>
          </w:p>
        </w:tc>
      </w:tr>
      <w:tr w:rsidR="00EF76BA" w:rsidRPr="00F06DBB" w14:paraId="0F3CFD3D" w14:textId="77777777" w:rsidTr="00750665">
        <w:trPr>
          <w:trHeight w:val="340"/>
        </w:trPr>
        <w:tc>
          <w:tcPr>
            <w:tcW w:w="1951" w:type="dxa"/>
          </w:tcPr>
          <w:p w14:paraId="3C019C9D" w14:textId="209BA65E" w:rsidR="00EF76BA" w:rsidRPr="00F06DBB" w:rsidRDefault="00EF76BA" w:rsidP="00750665">
            <w:pPr>
              <w:pStyle w:val="TableBody"/>
            </w:pPr>
            <w:r>
              <w:t>1</w:t>
            </w:r>
            <w:r w:rsidR="00750665">
              <w:t xml:space="preserve"> – Rare</w:t>
            </w:r>
          </w:p>
        </w:tc>
        <w:tc>
          <w:tcPr>
            <w:tcW w:w="7357" w:type="dxa"/>
          </w:tcPr>
          <w:p w14:paraId="24E20DED" w14:textId="65AE63B4" w:rsidR="00EF76BA" w:rsidRPr="00F06DBB" w:rsidRDefault="00750665" w:rsidP="00221731">
            <w:pPr>
              <w:pStyle w:val="TableBody"/>
            </w:pPr>
            <w:r w:rsidRPr="00750665">
              <w:t>Event will not occur or is not expected to occur</w:t>
            </w:r>
          </w:p>
        </w:tc>
      </w:tr>
      <w:tr w:rsidR="00EF76BA" w:rsidRPr="00F06DBB" w14:paraId="18DAB8BE" w14:textId="77777777" w:rsidTr="00750665">
        <w:trPr>
          <w:trHeight w:val="340"/>
        </w:trPr>
        <w:tc>
          <w:tcPr>
            <w:tcW w:w="1951" w:type="dxa"/>
          </w:tcPr>
          <w:p w14:paraId="31CBD338" w14:textId="283761FE" w:rsidR="00750665" w:rsidRDefault="00EF76BA" w:rsidP="00750665">
            <w:pPr>
              <w:pStyle w:val="TableBody"/>
            </w:pPr>
            <w:r>
              <w:t>2</w:t>
            </w:r>
            <w:r w:rsidR="00750665">
              <w:t xml:space="preserve"> – Unlikely</w:t>
            </w:r>
          </w:p>
        </w:tc>
        <w:tc>
          <w:tcPr>
            <w:tcW w:w="7357" w:type="dxa"/>
          </w:tcPr>
          <w:p w14:paraId="7372DED0" w14:textId="464A4E42" w:rsidR="00EF76BA" w:rsidRPr="00F06DBB" w:rsidRDefault="00750665" w:rsidP="00221731">
            <w:pPr>
              <w:pStyle w:val="TableBody"/>
            </w:pPr>
            <w:r w:rsidRPr="00750665">
              <w:t>Event has a minimal chance of occurring</w:t>
            </w:r>
          </w:p>
        </w:tc>
      </w:tr>
      <w:tr w:rsidR="00EF76BA" w:rsidRPr="00F06DBB" w14:paraId="4371CED4" w14:textId="77777777" w:rsidTr="00750665">
        <w:trPr>
          <w:trHeight w:val="340"/>
        </w:trPr>
        <w:tc>
          <w:tcPr>
            <w:tcW w:w="1951" w:type="dxa"/>
          </w:tcPr>
          <w:p w14:paraId="5984DCF1" w14:textId="7AE7C3C5" w:rsidR="00EF76BA" w:rsidRDefault="00EF76BA" w:rsidP="00750665">
            <w:pPr>
              <w:pStyle w:val="TableBody"/>
            </w:pPr>
            <w:r>
              <w:t>3</w:t>
            </w:r>
            <w:r w:rsidR="00750665">
              <w:t xml:space="preserve"> – Possible</w:t>
            </w:r>
          </w:p>
        </w:tc>
        <w:tc>
          <w:tcPr>
            <w:tcW w:w="7357" w:type="dxa"/>
          </w:tcPr>
          <w:p w14:paraId="591CDDB2" w14:textId="3E751081" w:rsidR="00EF76BA" w:rsidRPr="00F06DBB" w:rsidRDefault="00750665" w:rsidP="00221731">
            <w:pPr>
              <w:pStyle w:val="TableBody"/>
            </w:pPr>
            <w:r w:rsidRPr="00750665">
              <w:t>Event may occur</w:t>
            </w:r>
          </w:p>
        </w:tc>
      </w:tr>
      <w:tr w:rsidR="00EF76BA" w:rsidRPr="00F06DBB" w14:paraId="233C99BD" w14:textId="77777777" w:rsidTr="00750665">
        <w:trPr>
          <w:trHeight w:val="340"/>
        </w:trPr>
        <w:tc>
          <w:tcPr>
            <w:tcW w:w="1951" w:type="dxa"/>
          </w:tcPr>
          <w:p w14:paraId="07273F4D" w14:textId="51CFFDDA" w:rsidR="00EF76BA" w:rsidRDefault="00EF76BA" w:rsidP="00750665">
            <w:pPr>
              <w:pStyle w:val="TableBody"/>
            </w:pPr>
            <w:r>
              <w:t>4</w:t>
            </w:r>
            <w:r w:rsidR="00750665">
              <w:t xml:space="preserve"> – Likely</w:t>
            </w:r>
          </w:p>
        </w:tc>
        <w:tc>
          <w:tcPr>
            <w:tcW w:w="7357" w:type="dxa"/>
          </w:tcPr>
          <w:p w14:paraId="07B41955" w14:textId="2D942E47" w:rsidR="00EF76BA" w:rsidRPr="00F06DBB" w:rsidRDefault="00750665" w:rsidP="00221731">
            <w:pPr>
              <w:pStyle w:val="TableBody"/>
            </w:pPr>
            <w:r w:rsidRPr="00750665">
              <w:t>Event has a high chance of occurring</w:t>
            </w:r>
          </w:p>
        </w:tc>
      </w:tr>
      <w:tr w:rsidR="00EF76BA" w:rsidRPr="00F06DBB" w14:paraId="19D354E1" w14:textId="77777777" w:rsidTr="00750665">
        <w:trPr>
          <w:trHeight w:val="340"/>
        </w:trPr>
        <w:tc>
          <w:tcPr>
            <w:tcW w:w="1951" w:type="dxa"/>
          </w:tcPr>
          <w:p w14:paraId="7DA12587" w14:textId="1DEFF1E4" w:rsidR="00EF76BA" w:rsidRDefault="00EF76BA" w:rsidP="00750665">
            <w:pPr>
              <w:pStyle w:val="TableBody"/>
            </w:pPr>
            <w:r>
              <w:t>5</w:t>
            </w:r>
            <w:r w:rsidR="00750665">
              <w:t xml:space="preserve"> – Almost certain</w:t>
            </w:r>
          </w:p>
        </w:tc>
        <w:tc>
          <w:tcPr>
            <w:tcW w:w="7357" w:type="dxa"/>
          </w:tcPr>
          <w:p w14:paraId="2A299F5C" w14:textId="312A7AEF" w:rsidR="00EF76BA" w:rsidRPr="00F06DBB" w:rsidRDefault="00750665" w:rsidP="00221731">
            <w:pPr>
              <w:pStyle w:val="TableBody"/>
            </w:pPr>
            <w:r w:rsidRPr="00750665">
              <w:t>Event will occur or is expected to occur</w:t>
            </w:r>
          </w:p>
        </w:tc>
      </w:tr>
    </w:tbl>
    <w:p w14:paraId="60F53C2F" w14:textId="77777777" w:rsidR="00EF76BA" w:rsidRPr="00EF76BA" w:rsidRDefault="00EF76BA" w:rsidP="00EF76BA">
      <w:pPr>
        <w:pStyle w:val="BodyText"/>
      </w:pPr>
    </w:p>
    <w:p w14:paraId="24E50C9D" w14:textId="3E64BBCB" w:rsidR="00750665" w:rsidRDefault="00750665" w:rsidP="00750665">
      <w:pPr>
        <w:pStyle w:val="Caption"/>
        <w:ind w:left="1134" w:hanging="1134"/>
      </w:pPr>
      <w:bookmarkStart w:id="15" w:name="_Toc402442833"/>
      <w:proofErr w:type="gramStart"/>
      <w:r>
        <w:t xml:space="preserve">Table </w:t>
      </w:r>
      <w:proofErr w:type="gramEnd"/>
      <w:r w:rsidR="001C525C">
        <w:fldChar w:fldCharType="begin"/>
      </w:r>
      <w:r w:rsidR="001C525C">
        <w:instrText xml:space="preserve"> STYLEREF 1 \s </w:instrText>
      </w:r>
      <w:r w:rsidR="001C525C">
        <w:fldChar w:fldCharType="separate"/>
      </w:r>
      <w:r w:rsidR="004E469D">
        <w:rPr>
          <w:noProof/>
        </w:rPr>
        <w:t>1</w:t>
      </w:r>
      <w:r w:rsidR="001C525C">
        <w:rPr>
          <w:noProof/>
        </w:rPr>
        <w:fldChar w:fldCharType="end"/>
      </w:r>
      <w:proofErr w:type="gramStart"/>
      <w:r>
        <w:t>.</w:t>
      </w:r>
      <w:proofErr w:type="gramEnd"/>
      <w:r w:rsidR="001C525C">
        <w:fldChar w:fldCharType="begin"/>
      </w:r>
      <w:r w:rsidR="001C525C">
        <w:instrText xml:space="preserve"> SEQ Table \* ARABIC \s 1 </w:instrText>
      </w:r>
      <w:r w:rsidR="001C525C">
        <w:fldChar w:fldCharType="separate"/>
      </w:r>
      <w:r w:rsidR="004E469D">
        <w:rPr>
          <w:noProof/>
        </w:rPr>
        <w:t>2</w:t>
      </w:r>
      <w:r w:rsidR="001C525C">
        <w:rPr>
          <w:noProof/>
        </w:rPr>
        <w:fldChar w:fldCharType="end"/>
      </w:r>
      <w:r>
        <w:tab/>
        <w:t>Consequence descriptors</w:t>
      </w:r>
      <w:bookmarkEnd w:id="15"/>
    </w:p>
    <w:tbl>
      <w:tblPr>
        <w:tblStyle w:val="TableGrid"/>
        <w:tblW w:w="9280" w:type="dxa"/>
        <w:tblBorders>
          <w:bottom w:val="single" w:sz="4" w:space="0" w:color="auto"/>
        </w:tblBorders>
        <w:tblLook w:val="04A0" w:firstRow="1" w:lastRow="0" w:firstColumn="1" w:lastColumn="0" w:noHBand="0" w:noVBand="1"/>
        <w:tblCaption w:val="Table 1.2 Consequence descriptors"/>
        <w:tblDescription w:val="Table 1.2 Consequence descriptors"/>
      </w:tblPr>
      <w:tblGrid>
        <w:gridCol w:w="1951"/>
        <w:gridCol w:w="1651"/>
        <w:gridCol w:w="1893"/>
        <w:gridCol w:w="1984"/>
        <w:gridCol w:w="1801"/>
      </w:tblGrid>
      <w:tr w:rsidR="00151EBE" w:rsidRPr="0041025C" w14:paraId="30E93B34" w14:textId="04A4B554" w:rsidTr="003D13F7">
        <w:trPr>
          <w:trHeight w:val="340"/>
          <w:tblHeader/>
        </w:trPr>
        <w:tc>
          <w:tcPr>
            <w:tcW w:w="1951" w:type="dxa"/>
            <w:tcBorders>
              <w:bottom w:val="nil"/>
            </w:tcBorders>
            <w:vAlign w:val="center"/>
          </w:tcPr>
          <w:p w14:paraId="02219790" w14:textId="1D9457DB" w:rsidR="00151EBE" w:rsidRPr="00EF76BA" w:rsidRDefault="00151EBE" w:rsidP="00750665">
            <w:pPr>
              <w:pStyle w:val="TableHeader"/>
            </w:pPr>
          </w:p>
        </w:tc>
        <w:tc>
          <w:tcPr>
            <w:tcW w:w="1651" w:type="dxa"/>
            <w:tcBorders>
              <w:right w:val="nil"/>
            </w:tcBorders>
          </w:tcPr>
          <w:p w14:paraId="4B399FC5" w14:textId="77777777" w:rsidR="00151EBE" w:rsidRDefault="00151EBE" w:rsidP="00221731">
            <w:pPr>
              <w:pStyle w:val="TableHeader"/>
            </w:pPr>
            <w:r>
              <w:t>Definitions</w:t>
            </w:r>
          </w:p>
        </w:tc>
        <w:tc>
          <w:tcPr>
            <w:tcW w:w="1893" w:type="dxa"/>
            <w:tcBorders>
              <w:top w:val="nil"/>
              <w:left w:val="nil"/>
              <w:bottom w:val="single" w:sz="4" w:space="0" w:color="000000"/>
              <w:right w:val="nil"/>
            </w:tcBorders>
          </w:tcPr>
          <w:p w14:paraId="7CB33522" w14:textId="77777777" w:rsidR="00151EBE" w:rsidRDefault="00151EBE" w:rsidP="00221731">
            <w:pPr>
              <w:pStyle w:val="TableHeader"/>
            </w:pPr>
          </w:p>
        </w:tc>
        <w:tc>
          <w:tcPr>
            <w:tcW w:w="1984" w:type="dxa"/>
            <w:tcBorders>
              <w:top w:val="nil"/>
              <w:left w:val="nil"/>
              <w:bottom w:val="single" w:sz="4" w:space="0" w:color="000000"/>
              <w:right w:val="nil"/>
            </w:tcBorders>
          </w:tcPr>
          <w:p w14:paraId="020A6120" w14:textId="77777777" w:rsidR="00151EBE" w:rsidRDefault="00151EBE" w:rsidP="00221731">
            <w:pPr>
              <w:pStyle w:val="TableHeader"/>
            </w:pPr>
          </w:p>
        </w:tc>
        <w:tc>
          <w:tcPr>
            <w:tcW w:w="1801" w:type="dxa"/>
            <w:tcBorders>
              <w:left w:val="nil"/>
            </w:tcBorders>
          </w:tcPr>
          <w:p w14:paraId="3DCD1C60" w14:textId="31B6C1E8" w:rsidR="00151EBE" w:rsidRDefault="00151EBE" w:rsidP="00221731">
            <w:pPr>
              <w:pStyle w:val="TableHeader"/>
            </w:pPr>
          </w:p>
        </w:tc>
      </w:tr>
      <w:tr w:rsidR="00750665" w:rsidRPr="0041025C" w14:paraId="630D6DA2" w14:textId="77777777" w:rsidTr="003D13F7">
        <w:trPr>
          <w:trHeight w:val="340"/>
          <w:tblHeader/>
        </w:trPr>
        <w:tc>
          <w:tcPr>
            <w:tcW w:w="1951" w:type="dxa"/>
            <w:tcBorders>
              <w:top w:val="nil"/>
              <w:bottom w:val="single" w:sz="4" w:space="0" w:color="000000"/>
            </w:tcBorders>
            <w:vAlign w:val="center"/>
          </w:tcPr>
          <w:p w14:paraId="59C373B6" w14:textId="5EFB20A2" w:rsidR="00750665" w:rsidRDefault="00151EBE" w:rsidP="00151EBE">
            <w:pPr>
              <w:pStyle w:val="TableHeader"/>
            </w:pPr>
            <w:r>
              <w:t>Consequence</w:t>
            </w:r>
          </w:p>
        </w:tc>
        <w:tc>
          <w:tcPr>
            <w:tcW w:w="1651" w:type="dxa"/>
            <w:vAlign w:val="center"/>
          </w:tcPr>
          <w:p w14:paraId="3A3AE336" w14:textId="6E8FC662" w:rsidR="00750665" w:rsidRDefault="00750665" w:rsidP="00750665">
            <w:pPr>
              <w:pStyle w:val="TableHeader"/>
            </w:pPr>
            <w:r>
              <w:t>Survey</w:t>
            </w:r>
            <w:r>
              <w:br/>
              <w:t>program</w:t>
            </w:r>
            <w:r w:rsidRPr="00750665">
              <w:rPr>
                <w:vertAlign w:val="superscript"/>
              </w:rPr>
              <w:t>1</w:t>
            </w:r>
          </w:p>
        </w:tc>
        <w:tc>
          <w:tcPr>
            <w:tcW w:w="1893" w:type="dxa"/>
            <w:vAlign w:val="center"/>
          </w:tcPr>
          <w:p w14:paraId="002B5D25" w14:textId="40F6156E" w:rsidR="00750665" w:rsidRDefault="00750665" w:rsidP="00750665">
            <w:pPr>
              <w:pStyle w:val="TableHeader"/>
            </w:pPr>
            <w:r>
              <w:t>Environmental management</w:t>
            </w:r>
          </w:p>
        </w:tc>
        <w:tc>
          <w:tcPr>
            <w:tcW w:w="1984" w:type="dxa"/>
            <w:vAlign w:val="center"/>
          </w:tcPr>
          <w:p w14:paraId="1AA115B5" w14:textId="1AB6FFC4" w:rsidR="00750665" w:rsidRDefault="00750665" w:rsidP="00750665">
            <w:pPr>
              <w:pStyle w:val="TableHeader"/>
            </w:pPr>
            <w:r>
              <w:t>Environmental assessment</w:t>
            </w:r>
          </w:p>
        </w:tc>
        <w:tc>
          <w:tcPr>
            <w:tcW w:w="1801" w:type="dxa"/>
            <w:vAlign w:val="center"/>
          </w:tcPr>
          <w:p w14:paraId="30CA7C40" w14:textId="7507A083" w:rsidR="00750665" w:rsidRDefault="00750665" w:rsidP="00750665">
            <w:pPr>
              <w:pStyle w:val="TableHeader"/>
            </w:pPr>
            <w:r>
              <w:t>Client</w:t>
            </w:r>
            <w:r>
              <w:br/>
              <w:t>reputation</w:t>
            </w:r>
          </w:p>
        </w:tc>
      </w:tr>
      <w:tr w:rsidR="00750665" w:rsidRPr="00F06DBB" w14:paraId="450F2568" w14:textId="00C665F2" w:rsidTr="003D13F7">
        <w:trPr>
          <w:trHeight w:val="340"/>
        </w:trPr>
        <w:tc>
          <w:tcPr>
            <w:tcW w:w="1951" w:type="dxa"/>
            <w:tcBorders>
              <w:top w:val="single" w:sz="4" w:space="0" w:color="000000"/>
            </w:tcBorders>
            <w:vAlign w:val="center"/>
          </w:tcPr>
          <w:p w14:paraId="7E90FDFF" w14:textId="18EE0FD4" w:rsidR="00750665" w:rsidRPr="00F06DBB" w:rsidRDefault="00750665" w:rsidP="00D878D3">
            <w:pPr>
              <w:pStyle w:val="TableBody"/>
            </w:pPr>
            <w:r>
              <w:t>1 – Negligible</w:t>
            </w:r>
          </w:p>
        </w:tc>
        <w:tc>
          <w:tcPr>
            <w:tcW w:w="1651" w:type="dxa"/>
            <w:vAlign w:val="center"/>
          </w:tcPr>
          <w:p w14:paraId="1B6D241D" w14:textId="2FDF43E2" w:rsidR="00750665" w:rsidRPr="00F06DBB" w:rsidRDefault="00750665" w:rsidP="00D878D3">
            <w:pPr>
              <w:pStyle w:val="TableBody"/>
            </w:pPr>
            <w:r w:rsidRPr="00750665">
              <w:t>No material delay to program</w:t>
            </w:r>
          </w:p>
        </w:tc>
        <w:tc>
          <w:tcPr>
            <w:tcW w:w="1893" w:type="dxa"/>
            <w:vAlign w:val="center"/>
          </w:tcPr>
          <w:p w14:paraId="3AF894D8" w14:textId="422325B7" w:rsidR="00750665" w:rsidRDefault="00750665" w:rsidP="00D878D3">
            <w:pPr>
              <w:pStyle w:val="TableBody"/>
            </w:pPr>
            <w:r w:rsidRPr="00750665">
              <w:t>Local negligible or reversible, short term (&lt;1 month) impact</w:t>
            </w:r>
          </w:p>
        </w:tc>
        <w:tc>
          <w:tcPr>
            <w:tcW w:w="1984" w:type="dxa"/>
            <w:vAlign w:val="center"/>
          </w:tcPr>
          <w:p w14:paraId="18E6F2F6" w14:textId="67933E7F" w:rsidR="00750665" w:rsidRDefault="00750665" w:rsidP="00D878D3">
            <w:pPr>
              <w:pStyle w:val="TableBody"/>
            </w:pPr>
            <w:r w:rsidRPr="00750665">
              <w:t>Available information sufficient to inform future EIA</w:t>
            </w:r>
          </w:p>
        </w:tc>
        <w:tc>
          <w:tcPr>
            <w:tcW w:w="1801" w:type="dxa"/>
            <w:tcBorders>
              <w:bottom w:val="nil"/>
            </w:tcBorders>
            <w:vAlign w:val="bottom"/>
          </w:tcPr>
          <w:p w14:paraId="5641AAF0" w14:textId="0458599B" w:rsidR="00750665" w:rsidRDefault="00750665" w:rsidP="001C32A2">
            <w:pPr>
              <w:pStyle w:val="TableBody"/>
            </w:pPr>
            <w:r w:rsidRPr="00750665">
              <w:t>No/negligible impact on WSU/</w:t>
            </w:r>
          </w:p>
        </w:tc>
      </w:tr>
      <w:tr w:rsidR="00750665" w:rsidRPr="00F06DBB" w14:paraId="746AC254" w14:textId="3047919B" w:rsidTr="003D13F7">
        <w:trPr>
          <w:trHeight w:val="340"/>
        </w:trPr>
        <w:tc>
          <w:tcPr>
            <w:tcW w:w="1951" w:type="dxa"/>
            <w:vAlign w:val="center"/>
          </w:tcPr>
          <w:p w14:paraId="711ADB73" w14:textId="58C25524" w:rsidR="00750665" w:rsidRDefault="00750665" w:rsidP="00D878D3">
            <w:pPr>
              <w:pStyle w:val="TableBody"/>
            </w:pPr>
            <w:r>
              <w:t>2 – Minor</w:t>
            </w:r>
          </w:p>
        </w:tc>
        <w:tc>
          <w:tcPr>
            <w:tcW w:w="1651" w:type="dxa"/>
            <w:vAlign w:val="center"/>
          </w:tcPr>
          <w:p w14:paraId="2E61AE5C" w14:textId="6F47BEF4" w:rsidR="00750665" w:rsidRPr="00F06DBB" w:rsidRDefault="00750665" w:rsidP="00D878D3">
            <w:pPr>
              <w:pStyle w:val="TableBody"/>
            </w:pPr>
            <w:r w:rsidRPr="00750665">
              <w:t>Delay &lt;5 days; float available in program</w:t>
            </w:r>
          </w:p>
        </w:tc>
        <w:tc>
          <w:tcPr>
            <w:tcW w:w="1893" w:type="dxa"/>
            <w:vAlign w:val="center"/>
          </w:tcPr>
          <w:p w14:paraId="6DE4A447" w14:textId="121F2A39" w:rsidR="00750665" w:rsidRPr="00F06DBB" w:rsidRDefault="00750665" w:rsidP="00D878D3">
            <w:pPr>
              <w:pStyle w:val="TableBody"/>
            </w:pPr>
            <w:r w:rsidRPr="00750665">
              <w:t>Local minor or reversible, short term (&lt;3 months) impact</w:t>
            </w:r>
          </w:p>
        </w:tc>
        <w:tc>
          <w:tcPr>
            <w:tcW w:w="1984" w:type="dxa"/>
            <w:vAlign w:val="center"/>
          </w:tcPr>
          <w:p w14:paraId="776F1564" w14:textId="417A77BD" w:rsidR="00750665" w:rsidRPr="00F06DBB" w:rsidRDefault="00750665" w:rsidP="00D878D3">
            <w:pPr>
              <w:pStyle w:val="TableBody"/>
            </w:pPr>
            <w:r w:rsidRPr="00750665">
              <w:t>Delays to EIA due to field work requirements 1-3 months</w:t>
            </w:r>
          </w:p>
        </w:tc>
        <w:tc>
          <w:tcPr>
            <w:tcW w:w="1801" w:type="dxa"/>
            <w:tcBorders>
              <w:top w:val="nil"/>
              <w:bottom w:val="single" w:sz="4" w:space="0" w:color="000000"/>
            </w:tcBorders>
          </w:tcPr>
          <w:p w14:paraId="44A9B323" w14:textId="6832EA6E" w:rsidR="00750665" w:rsidRPr="00F06DBB" w:rsidRDefault="001C32A2" w:rsidP="001C32A2">
            <w:pPr>
              <w:pStyle w:val="TableBody"/>
            </w:pPr>
            <w:r w:rsidRPr="00750665">
              <w:t>Commonwealth reputation</w:t>
            </w:r>
          </w:p>
        </w:tc>
      </w:tr>
      <w:tr w:rsidR="00750665" w:rsidRPr="00F06DBB" w14:paraId="5B00F3DC" w14:textId="3D4A18A9" w:rsidTr="003D13F7">
        <w:trPr>
          <w:trHeight w:val="340"/>
        </w:trPr>
        <w:tc>
          <w:tcPr>
            <w:tcW w:w="1951" w:type="dxa"/>
            <w:vAlign w:val="center"/>
          </w:tcPr>
          <w:p w14:paraId="3EAE1896" w14:textId="544D5BB9" w:rsidR="00750665" w:rsidRDefault="00750665" w:rsidP="00D878D3">
            <w:pPr>
              <w:pStyle w:val="TableBody"/>
            </w:pPr>
            <w:r>
              <w:t>3 – Moderate</w:t>
            </w:r>
          </w:p>
        </w:tc>
        <w:tc>
          <w:tcPr>
            <w:tcW w:w="1651" w:type="dxa"/>
            <w:vAlign w:val="center"/>
          </w:tcPr>
          <w:p w14:paraId="37F206F0" w14:textId="678E5EAB" w:rsidR="00750665" w:rsidRPr="00F06DBB" w:rsidRDefault="00750665" w:rsidP="00D878D3">
            <w:pPr>
              <w:pStyle w:val="TableBody"/>
            </w:pPr>
            <w:r w:rsidRPr="00750665">
              <w:t>Delay 5-10 days; limited float in program</w:t>
            </w:r>
          </w:p>
        </w:tc>
        <w:tc>
          <w:tcPr>
            <w:tcW w:w="1893" w:type="dxa"/>
            <w:vAlign w:val="center"/>
          </w:tcPr>
          <w:p w14:paraId="61FF3826" w14:textId="40D95C27" w:rsidR="00750665" w:rsidRPr="00F06DBB" w:rsidRDefault="00750665" w:rsidP="00D878D3">
            <w:pPr>
              <w:pStyle w:val="TableBody"/>
            </w:pPr>
            <w:r w:rsidRPr="00750665">
              <w:t>Local moderate or reversible (within 2 years) impact</w:t>
            </w:r>
          </w:p>
        </w:tc>
        <w:tc>
          <w:tcPr>
            <w:tcW w:w="1984" w:type="dxa"/>
            <w:vAlign w:val="center"/>
          </w:tcPr>
          <w:p w14:paraId="0E63C80E" w14:textId="760EE852" w:rsidR="00750665" w:rsidRPr="00F06DBB" w:rsidRDefault="00750665" w:rsidP="00D878D3">
            <w:pPr>
              <w:pStyle w:val="TableBody"/>
            </w:pPr>
            <w:r w:rsidRPr="00750665">
              <w:t>Delays to EIA due to field work requirements 3-6 months</w:t>
            </w:r>
          </w:p>
        </w:tc>
        <w:tc>
          <w:tcPr>
            <w:tcW w:w="1801" w:type="dxa"/>
            <w:tcBorders>
              <w:top w:val="single" w:sz="4" w:space="0" w:color="000000"/>
            </w:tcBorders>
          </w:tcPr>
          <w:p w14:paraId="5EA0E827" w14:textId="358C16AB" w:rsidR="00750665" w:rsidRPr="00F06DBB" w:rsidRDefault="00D878D3" w:rsidP="00221731">
            <w:pPr>
              <w:pStyle w:val="TableBody"/>
            </w:pPr>
            <w:r w:rsidRPr="00D878D3">
              <w:t>Potential for reputational harm to WSU/ Commonwealth</w:t>
            </w:r>
          </w:p>
        </w:tc>
      </w:tr>
      <w:tr w:rsidR="00D878D3" w:rsidRPr="00F06DBB" w14:paraId="7FCA0085" w14:textId="5DF71B6C" w:rsidTr="003D13F7">
        <w:trPr>
          <w:trHeight w:val="340"/>
        </w:trPr>
        <w:tc>
          <w:tcPr>
            <w:tcW w:w="1951" w:type="dxa"/>
            <w:vAlign w:val="center"/>
          </w:tcPr>
          <w:p w14:paraId="4E98347C" w14:textId="1DB20C62" w:rsidR="00D878D3" w:rsidRDefault="00D878D3" w:rsidP="00D878D3">
            <w:pPr>
              <w:pStyle w:val="TableBody"/>
            </w:pPr>
            <w:r>
              <w:t>4 – Significant</w:t>
            </w:r>
          </w:p>
        </w:tc>
        <w:tc>
          <w:tcPr>
            <w:tcW w:w="1651" w:type="dxa"/>
            <w:vAlign w:val="center"/>
          </w:tcPr>
          <w:p w14:paraId="402252A9" w14:textId="3B72EBA2" w:rsidR="00D878D3" w:rsidRPr="00F06DBB" w:rsidRDefault="00D878D3" w:rsidP="00D878D3">
            <w:pPr>
              <w:pStyle w:val="TableBody"/>
            </w:pPr>
            <w:r w:rsidRPr="00750665">
              <w:t>Delay 10-20 days; no float in program</w:t>
            </w:r>
          </w:p>
        </w:tc>
        <w:tc>
          <w:tcPr>
            <w:tcW w:w="1893" w:type="dxa"/>
            <w:vAlign w:val="center"/>
          </w:tcPr>
          <w:p w14:paraId="573F029D" w14:textId="0C9C64F5" w:rsidR="00D878D3" w:rsidRPr="00F06DBB" w:rsidRDefault="00D878D3" w:rsidP="00D878D3">
            <w:pPr>
              <w:pStyle w:val="TableBody"/>
            </w:pPr>
            <w:r w:rsidRPr="00750665">
              <w:t>Extensive but reversible (within 2 years) impact or significant irreversible local impact</w:t>
            </w:r>
          </w:p>
        </w:tc>
        <w:tc>
          <w:tcPr>
            <w:tcW w:w="1984" w:type="dxa"/>
            <w:vAlign w:val="center"/>
          </w:tcPr>
          <w:p w14:paraId="511B065D" w14:textId="20ABCB6C" w:rsidR="00D878D3" w:rsidRPr="00F06DBB" w:rsidRDefault="00D878D3" w:rsidP="00D878D3">
            <w:pPr>
              <w:pStyle w:val="TableBody"/>
            </w:pPr>
            <w:r w:rsidRPr="00750665">
              <w:t>Delays to EIA due to field work requirements 6-12 months</w:t>
            </w:r>
          </w:p>
        </w:tc>
        <w:tc>
          <w:tcPr>
            <w:tcW w:w="1801" w:type="dxa"/>
            <w:tcBorders>
              <w:bottom w:val="nil"/>
            </w:tcBorders>
            <w:vAlign w:val="bottom"/>
          </w:tcPr>
          <w:p w14:paraId="6BE3F6B7" w14:textId="5BA2847F" w:rsidR="00D878D3" w:rsidRPr="00F06DBB" w:rsidRDefault="001C32A2" w:rsidP="001C32A2">
            <w:pPr>
              <w:pStyle w:val="TableBody"/>
            </w:pPr>
            <w:r>
              <w:t xml:space="preserve">Major reputational </w:t>
            </w:r>
            <w:r w:rsidRPr="00D878D3">
              <w:t>harm to WSU/</w:t>
            </w:r>
          </w:p>
        </w:tc>
      </w:tr>
      <w:tr w:rsidR="001C32A2" w:rsidRPr="00F06DBB" w14:paraId="4DB0C8EA" w14:textId="237CCDAF" w:rsidTr="003D13F7">
        <w:trPr>
          <w:trHeight w:val="340"/>
        </w:trPr>
        <w:tc>
          <w:tcPr>
            <w:tcW w:w="1951" w:type="dxa"/>
            <w:vAlign w:val="center"/>
          </w:tcPr>
          <w:p w14:paraId="0382FA70" w14:textId="5DBA84F7" w:rsidR="001C32A2" w:rsidRDefault="001C32A2" w:rsidP="00D878D3">
            <w:pPr>
              <w:pStyle w:val="TableBody"/>
            </w:pPr>
            <w:r>
              <w:t>5 – Extreme</w:t>
            </w:r>
          </w:p>
        </w:tc>
        <w:tc>
          <w:tcPr>
            <w:tcW w:w="1651" w:type="dxa"/>
            <w:vAlign w:val="center"/>
          </w:tcPr>
          <w:p w14:paraId="52CE416D" w14:textId="514A57B6" w:rsidR="001C32A2" w:rsidRPr="00F06DBB" w:rsidRDefault="001C32A2" w:rsidP="00D878D3">
            <w:pPr>
              <w:pStyle w:val="TableBody"/>
            </w:pPr>
            <w:r w:rsidRPr="00750665">
              <w:t>Delay &gt; 20 days</w:t>
            </w:r>
          </w:p>
        </w:tc>
        <w:tc>
          <w:tcPr>
            <w:tcW w:w="1893" w:type="dxa"/>
            <w:vAlign w:val="center"/>
          </w:tcPr>
          <w:p w14:paraId="608695D2" w14:textId="02CC7BF4" w:rsidR="001C32A2" w:rsidRPr="00F06DBB" w:rsidRDefault="001C32A2" w:rsidP="00D878D3">
            <w:pPr>
              <w:pStyle w:val="TableBody"/>
            </w:pPr>
            <w:r w:rsidRPr="00750665">
              <w:t>Widespread irreversible impacts</w:t>
            </w:r>
          </w:p>
        </w:tc>
        <w:tc>
          <w:tcPr>
            <w:tcW w:w="1984" w:type="dxa"/>
            <w:vAlign w:val="center"/>
          </w:tcPr>
          <w:p w14:paraId="093EC818" w14:textId="772036EC" w:rsidR="001C32A2" w:rsidRPr="00F06DBB" w:rsidRDefault="001C32A2" w:rsidP="00D878D3">
            <w:pPr>
              <w:pStyle w:val="TableBody"/>
            </w:pPr>
            <w:r w:rsidRPr="00750665">
              <w:t>Delays to EIA due to field work requirements &gt;12 months</w:t>
            </w:r>
          </w:p>
        </w:tc>
        <w:tc>
          <w:tcPr>
            <w:tcW w:w="1801" w:type="dxa"/>
            <w:tcBorders>
              <w:top w:val="nil"/>
              <w:bottom w:val="single" w:sz="4" w:space="0" w:color="auto"/>
            </w:tcBorders>
          </w:tcPr>
          <w:p w14:paraId="05EB6827" w14:textId="304058F4" w:rsidR="001C32A2" w:rsidRPr="00F06DBB" w:rsidRDefault="001C32A2" w:rsidP="001C32A2">
            <w:pPr>
              <w:pStyle w:val="TableBody"/>
            </w:pPr>
            <w:r w:rsidRPr="00D878D3">
              <w:t>Commonwealth</w:t>
            </w:r>
          </w:p>
        </w:tc>
      </w:tr>
    </w:tbl>
    <w:p w14:paraId="12189C71" w14:textId="1441E2E7" w:rsidR="00750665" w:rsidRPr="00750665" w:rsidRDefault="00750665" w:rsidP="00750665">
      <w:pPr>
        <w:pStyle w:val="BodyText"/>
        <w:rPr>
          <w:sz w:val="20"/>
          <w:szCs w:val="20"/>
        </w:rPr>
      </w:pPr>
      <w:r w:rsidRPr="00750665">
        <w:rPr>
          <w:sz w:val="20"/>
          <w:szCs w:val="20"/>
        </w:rPr>
        <w:t xml:space="preserve">1 </w:t>
      </w:r>
      <w:r>
        <w:rPr>
          <w:sz w:val="20"/>
          <w:szCs w:val="20"/>
        </w:rPr>
        <w:t>B</w:t>
      </w:r>
      <w:r w:rsidRPr="00750665">
        <w:rPr>
          <w:sz w:val="20"/>
          <w:szCs w:val="20"/>
        </w:rPr>
        <w:t>usiness days</w:t>
      </w:r>
    </w:p>
    <w:p w14:paraId="48AC0E12" w14:textId="77777777" w:rsidR="00EF76BA" w:rsidRDefault="00EF76BA" w:rsidP="00077952">
      <w:pPr>
        <w:pStyle w:val="BodyText"/>
      </w:pPr>
    </w:p>
    <w:p w14:paraId="3001C4D0" w14:textId="6DB85CA2" w:rsidR="00EF76BA" w:rsidRDefault="00D878D3" w:rsidP="00D878D3">
      <w:pPr>
        <w:pStyle w:val="BodyText"/>
        <w:pageBreakBefore/>
      </w:pPr>
      <w:r>
        <w:t>Risk levels were then assigned in accordance with the following matrix.</w:t>
      </w:r>
    </w:p>
    <w:p w14:paraId="54C69B13" w14:textId="77777777" w:rsidR="00D878D3" w:rsidRDefault="00D878D3" w:rsidP="00077952">
      <w:pPr>
        <w:pStyle w:val="BodyText"/>
      </w:pPr>
    </w:p>
    <w:tbl>
      <w:tblPr>
        <w:tblStyle w:val="TableGrid"/>
        <w:tblW w:w="0" w:type="auto"/>
        <w:tblInd w:w="108" w:type="dxa"/>
        <w:tblLook w:val="04A0" w:firstRow="1" w:lastRow="0" w:firstColumn="1" w:lastColumn="0" w:noHBand="0" w:noVBand="1"/>
        <w:tblCaption w:val="Risk matrix"/>
        <w:tblDescription w:val="Risk matrix"/>
      </w:tblPr>
      <w:tblGrid>
        <w:gridCol w:w="1418"/>
        <w:gridCol w:w="709"/>
        <w:gridCol w:w="1320"/>
        <w:gridCol w:w="1320"/>
        <w:gridCol w:w="1321"/>
        <w:gridCol w:w="1321"/>
        <w:gridCol w:w="1321"/>
      </w:tblGrid>
      <w:tr w:rsidR="00151EBE" w:rsidRPr="00C66156" w14:paraId="1B65B0E2" w14:textId="77777777" w:rsidTr="00151EBE">
        <w:trPr>
          <w:tblHeader/>
        </w:trPr>
        <w:tc>
          <w:tcPr>
            <w:tcW w:w="1418" w:type="dxa"/>
            <w:tcBorders>
              <w:top w:val="nil"/>
              <w:left w:val="nil"/>
              <w:bottom w:val="nil"/>
              <w:right w:val="nil"/>
            </w:tcBorders>
          </w:tcPr>
          <w:p w14:paraId="71D6A950" w14:textId="77777777" w:rsidR="00151EBE" w:rsidRPr="006C4ED0" w:rsidRDefault="00151EBE" w:rsidP="00221731">
            <w:pPr>
              <w:spacing w:before="80" w:after="80"/>
            </w:pPr>
          </w:p>
        </w:tc>
        <w:tc>
          <w:tcPr>
            <w:tcW w:w="709" w:type="dxa"/>
            <w:tcBorders>
              <w:top w:val="nil"/>
              <w:left w:val="nil"/>
              <w:bottom w:val="nil"/>
            </w:tcBorders>
          </w:tcPr>
          <w:p w14:paraId="532A5C45" w14:textId="77777777" w:rsidR="00151EBE" w:rsidRPr="006C4ED0" w:rsidRDefault="00151EBE" w:rsidP="00221731">
            <w:pPr>
              <w:spacing w:before="80" w:after="80"/>
              <w:ind w:left="65"/>
              <w:jc w:val="center"/>
            </w:pPr>
          </w:p>
        </w:tc>
        <w:tc>
          <w:tcPr>
            <w:tcW w:w="1320" w:type="dxa"/>
            <w:tcBorders>
              <w:bottom w:val="single" w:sz="4" w:space="0" w:color="auto"/>
              <w:right w:val="nil"/>
            </w:tcBorders>
            <w:shd w:val="clear" w:color="auto" w:fill="D9D9D9" w:themeFill="background1" w:themeFillShade="D9"/>
          </w:tcPr>
          <w:p w14:paraId="30C3B4F3" w14:textId="40315E1B" w:rsidR="00151EBE" w:rsidRPr="00C66156" w:rsidRDefault="00151EBE" w:rsidP="00221731">
            <w:pPr>
              <w:spacing w:before="80" w:after="80"/>
              <w:jc w:val="center"/>
              <w:rPr>
                <w:rFonts w:cs="Arial"/>
                <w:b/>
                <w:color w:val="595959"/>
                <w:sz w:val="18"/>
                <w:szCs w:val="18"/>
              </w:rPr>
            </w:pPr>
          </w:p>
        </w:tc>
        <w:tc>
          <w:tcPr>
            <w:tcW w:w="1320" w:type="dxa"/>
            <w:tcBorders>
              <w:top w:val="nil"/>
              <w:left w:val="nil"/>
              <w:bottom w:val="single" w:sz="4" w:space="0" w:color="auto"/>
              <w:right w:val="nil"/>
            </w:tcBorders>
            <w:shd w:val="clear" w:color="auto" w:fill="D9D9D9" w:themeFill="background1" w:themeFillShade="D9"/>
          </w:tcPr>
          <w:p w14:paraId="5F01A172" w14:textId="77777777" w:rsidR="00151EBE" w:rsidRPr="00C66156" w:rsidRDefault="00151EBE" w:rsidP="00221731">
            <w:pPr>
              <w:spacing w:before="80" w:after="80"/>
              <w:jc w:val="center"/>
              <w:rPr>
                <w:rFonts w:cs="Arial"/>
                <w:b/>
                <w:color w:val="595959"/>
                <w:sz w:val="18"/>
                <w:szCs w:val="18"/>
              </w:rPr>
            </w:pPr>
          </w:p>
        </w:tc>
        <w:tc>
          <w:tcPr>
            <w:tcW w:w="1321" w:type="dxa"/>
            <w:tcBorders>
              <w:top w:val="nil"/>
              <w:left w:val="nil"/>
              <w:bottom w:val="single" w:sz="4" w:space="0" w:color="auto"/>
              <w:right w:val="nil"/>
            </w:tcBorders>
            <w:shd w:val="clear" w:color="auto" w:fill="D9D9D9" w:themeFill="background1" w:themeFillShade="D9"/>
          </w:tcPr>
          <w:p w14:paraId="5C9B8414" w14:textId="40F40581" w:rsidR="00151EBE" w:rsidRPr="00C66156" w:rsidRDefault="00151EBE" w:rsidP="00221731">
            <w:pPr>
              <w:spacing w:before="80" w:after="80"/>
              <w:jc w:val="center"/>
              <w:rPr>
                <w:rFonts w:cs="Arial"/>
                <w:b/>
                <w:color w:val="595959"/>
                <w:sz w:val="18"/>
                <w:szCs w:val="18"/>
              </w:rPr>
            </w:pPr>
            <w:r w:rsidRPr="00C66156">
              <w:rPr>
                <w:rFonts w:cs="Arial"/>
                <w:b/>
                <w:color w:val="595959"/>
                <w:sz w:val="18"/>
                <w:szCs w:val="18"/>
              </w:rPr>
              <w:t>Likelihood</w:t>
            </w:r>
          </w:p>
        </w:tc>
        <w:tc>
          <w:tcPr>
            <w:tcW w:w="1321" w:type="dxa"/>
            <w:tcBorders>
              <w:top w:val="nil"/>
              <w:left w:val="nil"/>
              <w:bottom w:val="single" w:sz="4" w:space="0" w:color="auto"/>
              <w:right w:val="nil"/>
            </w:tcBorders>
            <w:shd w:val="clear" w:color="auto" w:fill="D9D9D9" w:themeFill="background1" w:themeFillShade="D9"/>
          </w:tcPr>
          <w:p w14:paraId="5526E229" w14:textId="77777777" w:rsidR="00151EBE" w:rsidRPr="00C66156" w:rsidRDefault="00151EBE" w:rsidP="00221731">
            <w:pPr>
              <w:spacing w:before="80" w:after="80"/>
              <w:jc w:val="center"/>
              <w:rPr>
                <w:rFonts w:cs="Arial"/>
                <w:b/>
                <w:color w:val="595959"/>
                <w:sz w:val="18"/>
                <w:szCs w:val="18"/>
              </w:rPr>
            </w:pPr>
          </w:p>
        </w:tc>
        <w:tc>
          <w:tcPr>
            <w:tcW w:w="1321" w:type="dxa"/>
            <w:tcBorders>
              <w:left w:val="nil"/>
              <w:bottom w:val="single" w:sz="4" w:space="0" w:color="auto"/>
            </w:tcBorders>
            <w:shd w:val="clear" w:color="auto" w:fill="D9D9D9" w:themeFill="background1" w:themeFillShade="D9"/>
          </w:tcPr>
          <w:p w14:paraId="1B22A6CC" w14:textId="0A09B078" w:rsidR="00151EBE" w:rsidRPr="00C66156" w:rsidRDefault="00151EBE" w:rsidP="00221731">
            <w:pPr>
              <w:spacing w:before="80" w:after="80"/>
              <w:jc w:val="center"/>
              <w:rPr>
                <w:rFonts w:cs="Arial"/>
                <w:b/>
                <w:color w:val="595959"/>
                <w:sz w:val="18"/>
                <w:szCs w:val="18"/>
              </w:rPr>
            </w:pPr>
          </w:p>
        </w:tc>
      </w:tr>
      <w:tr w:rsidR="00D878D3" w:rsidRPr="00C66156" w14:paraId="0C7C20B7" w14:textId="77777777" w:rsidTr="00151EBE">
        <w:tc>
          <w:tcPr>
            <w:tcW w:w="1418" w:type="dxa"/>
            <w:tcBorders>
              <w:top w:val="nil"/>
              <w:left w:val="nil"/>
              <w:bottom w:val="single" w:sz="4" w:space="0" w:color="auto"/>
              <w:right w:val="nil"/>
            </w:tcBorders>
          </w:tcPr>
          <w:p w14:paraId="273FA099" w14:textId="77777777" w:rsidR="00D878D3" w:rsidRPr="006C4ED0" w:rsidRDefault="00D878D3" w:rsidP="00221731">
            <w:pPr>
              <w:spacing w:before="80" w:after="80"/>
            </w:pPr>
          </w:p>
        </w:tc>
        <w:tc>
          <w:tcPr>
            <w:tcW w:w="709" w:type="dxa"/>
            <w:tcBorders>
              <w:top w:val="nil"/>
              <w:left w:val="nil"/>
              <w:bottom w:val="single" w:sz="4" w:space="0" w:color="auto"/>
            </w:tcBorders>
          </w:tcPr>
          <w:p w14:paraId="4F00E6E5" w14:textId="77777777" w:rsidR="00D878D3" w:rsidRPr="006C4ED0" w:rsidRDefault="00D878D3" w:rsidP="00221731">
            <w:pPr>
              <w:spacing w:before="80" w:after="80"/>
              <w:ind w:left="65"/>
              <w:jc w:val="center"/>
            </w:pPr>
          </w:p>
        </w:tc>
        <w:tc>
          <w:tcPr>
            <w:tcW w:w="1320" w:type="dxa"/>
            <w:tcBorders>
              <w:bottom w:val="single" w:sz="4" w:space="0" w:color="auto"/>
              <w:right w:val="single" w:sz="4" w:space="0" w:color="FFFFFF" w:themeColor="background1"/>
            </w:tcBorders>
            <w:shd w:val="clear" w:color="auto" w:fill="D9D9D9" w:themeFill="background1" w:themeFillShade="D9"/>
          </w:tcPr>
          <w:p w14:paraId="70A6CCCF" w14:textId="77777777" w:rsidR="00D878D3" w:rsidRPr="00C66156" w:rsidRDefault="00D878D3" w:rsidP="00221731">
            <w:pPr>
              <w:spacing w:before="80" w:after="80"/>
              <w:jc w:val="center"/>
              <w:rPr>
                <w:rFonts w:cs="Arial"/>
                <w:b/>
                <w:color w:val="595959"/>
                <w:sz w:val="18"/>
                <w:szCs w:val="18"/>
              </w:rPr>
            </w:pPr>
            <w:r>
              <w:rPr>
                <w:rFonts w:cs="Arial"/>
                <w:b/>
                <w:color w:val="595959"/>
                <w:sz w:val="18"/>
                <w:szCs w:val="18"/>
              </w:rPr>
              <w:t>1</w:t>
            </w:r>
          </w:p>
        </w:tc>
        <w:tc>
          <w:tcPr>
            <w:tcW w:w="1320" w:type="dxa"/>
            <w:tcBorders>
              <w:left w:val="single" w:sz="4" w:space="0" w:color="FFFFFF" w:themeColor="background1"/>
              <w:bottom w:val="single" w:sz="4" w:space="0" w:color="auto"/>
              <w:right w:val="single" w:sz="4" w:space="0" w:color="FFFFFF" w:themeColor="background1"/>
            </w:tcBorders>
            <w:shd w:val="clear" w:color="auto" w:fill="D9D9D9" w:themeFill="background1" w:themeFillShade="D9"/>
          </w:tcPr>
          <w:p w14:paraId="4A0C1770" w14:textId="77777777" w:rsidR="00D878D3" w:rsidRPr="00C66156" w:rsidRDefault="00D878D3" w:rsidP="00221731">
            <w:pPr>
              <w:spacing w:before="80" w:after="80"/>
              <w:jc w:val="center"/>
              <w:rPr>
                <w:rFonts w:cs="Arial"/>
                <w:b/>
                <w:color w:val="595959"/>
                <w:sz w:val="18"/>
                <w:szCs w:val="18"/>
              </w:rPr>
            </w:pPr>
            <w:r>
              <w:rPr>
                <w:rFonts w:cs="Arial"/>
                <w:b/>
                <w:color w:val="595959"/>
                <w:sz w:val="18"/>
                <w:szCs w:val="18"/>
              </w:rPr>
              <w:t>2</w:t>
            </w:r>
          </w:p>
        </w:tc>
        <w:tc>
          <w:tcPr>
            <w:tcW w:w="1321" w:type="dxa"/>
            <w:tcBorders>
              <w:left w:val="single" w:sz="4" w:space="0" w:color="FFFFFF" w:themeColor="background1"/>
              <w:bottom w:val="single" w:sz="4" w:space="0" w:color="auto"/>
              <w:right w:val="single" w:sz="4" w:space="0" w:color="FFFFFF" w:themeColor="background1"/>
            </w:tcBorders>
            <w:shd w:val="clear" w:color="auto" w:fill="D9D9D9" w:themeFill="background1" w:themeFillShade="D9"/>
          </w:tcPr>
          <w:p w14:paraId="4CEBEF4A" w14:textId="77777777" w:rsidR="00D878D3" w:rsidRPr="00C66156" w:rsidRDefault="00D878D3" w:rsidP="00221731">
            <w:pPr>
              <w:spacing w:before="80" w:after="80"/>
              <w:jc w:val="center"/>
              <w:rPr>
                <w:rFonts w:cs="Arial"/>
                <w:b/>
                <w:color w:val="595959"/>
                <w:sz w:val="18"/>
                <w:szCs w:val="18"/>
              </w:rPr>
            </w:pPr>
            <w:r>
              <w:rPr>
                <w:rFonts w:cs="Arial"/>
                <w:b/>
                <w:color w:val="595959"/>
                <w:sz w:val="18"/>
                <w:szCs w:val="18"/>
              </w:rPr>
              <w:t>3</w:t>
            </w:r>
          </w:p>
        </w:tc>
        <w:tc>
          <w:tcPr>
            <w:tcW w:w="1321" w:type="dxa"/>
            <w:tcBorders>
              <w:left w:val="single" w:sz="4" w:space="0" w:color="FFFFFF" w:themeColor="background1"/>
              <w:bottom w:val="single" w:sz="4" w:space="0" w:color="auto"/>
              <w:right w:val="single" w:sz="4" w:space="0" w:color="FFFFFF" w:themeColor="background1"/>
            </w:tcBorders>
            <w:shd w:val="clear" w:color="auto" w:fill="D9D9D9" w:themeFill="background1" w:themeFillShade="D9"/>
          </w:tcPr>
          <w:p w14:paraId="1247CE4A" w14:textId="77777777" w:rsidR="00D878D3" w:rsidRPr="00C66156" w:rsidRDefault="00D878D3" w:rsidP="00221731">
            <w:pPr>
              <w:spacing w:before="80" w:after="80"/>
              <w:jc w:val="center"/>
              <w:rPr>
                <w:rFonts w:cs="Arial"/>
                <w:b/>
                <w:color w:val="595959"/>
                <w:sz w:val="18"/>
                <w:szCs w:val="18"/>
              </w:rPr>
            </w:pPr>
            <w:r>
              <w:rPr>
                <w:rFonts w:cs="Arial"/>
                <w:b/>
                <w:color w:val="595959"/>
                <w:sz w:val="18"/>
                <w:szCs w:val="18"/>
              </w:rPr>
              <w:t>4</w:t>
            </w:r>
          </w:p>
        </w:tc>
        <w:tc>
          <w:tcPr>
            <w:tcW w:w="1321" w:type="dxa"/>
            <w:tcBorders>
              <w:left w:val="single" w:sz="4" w:space="0" w:color="FFFFFF" w:themeColor="background1"/>
              <w:bottom w:val="single" w:sz="4" w:space="0" w:color="auto"/>
            </w:tcBorders>
            <w:shd w:val="clear" w:color="auto" w:fill="D9D9D9" w:themeFill="background1" w:themeFillShade="D9"/>
          </w:tcPr>
          <w:p w14:paraId="67C1AFA4" w14:textId="77777777" w:rsidR="00D878D3" w:rsidRPr="00C66156" w:rsidRDefault="00D878D3" w:rsidP="00221731">
            <w:pPr>
              <w:spacing w:before="80" w:after="80"/>
              <w:jc w:val="center"/>
              <w:rPr>
                <w:rFonts w:cs="Arial"/>
                <w:b/>
                <w:color w:val="595959"/>
                <w:sz w:val="18"/>
                <w:szCs w:val="18"/>
              </w:rPr>
            </w:pPr>
            <w:r>
              <w:rPr>
                <w:rFonts w:cs="Arial"/>
                <w:b/>
                <w:color w:val="595959"/>
                <w:sz w:val="18"/>
                <w:szCs w:val="18"/>
              </w:rPr>
              <w:t>5</w:t>
            </w:r>
          </w:p>
        </w:tc>
      </w:tr>
      <w:tr w:rsidR="00D878D3" w:rsidRPr="006C4ED0" w14:paraId="06FB3296" w14:textId="77777777" w:rsidTr="00151EBE">
        <w:tc>
          <w:tcPr>
            <w:tcW w:w="1418" w:type="dxa"/>
            <w:tcBorders>
              <w:bottom w:val="nil"/>
            </w:tcBorders>
            <w:shd w:val="clear" w:color="auto" w:fill="D9D9D9" w:themeFill="background1" w:themeFillShade="D9"/>
            <w:vAlign w:val="center"/>
          </w:tcPr>
          <w:p w14:paraId="10FFC2CF" w14:textId="55B3CE20" w:rsidR="00D878D3" w:rsidRPr="00C66156" w:rsidRDefault="00D878D3" w:rsidP="00151EBE">
            <w:pPr>
              <w:spacing w:before="80" w:after="80"/>
              <w:jc w:val="center"/>
              <w:rPr>
                <w:rFonts w:cs="Arial"/>
                <w:b/>
                <w:color w:val="595959"/>
                <w:sz w:val="18"/>
                <w:szCs w:val="18"/>
              </w:rPr>
            </w:pPr>
          </w:p>
        </w:tc>
        <w:tc>
          <w:tcPr>
            <w:tcW w:w="709" w:type="dxa"/>
            <w:tcBorders>
              <w:bottom w:val="single" w:sz="4" w:space="0" w:color="FFFFFF" w:themeColor="background1"/>
            </w:tcBorders>
            <w:shd w:val="clear" w:color="auto" w:fill="D9D9D9" w:themeFill="background1" w:themeFillShade="D9"/>
            <w:vAlign w:val="center"/>
          </w:tcPr>
          <w:p w14:paraId="3EE126C3" w14:textId="77777777" w:rsidR="00D878D3" w:rsidRPr="00C66156" w:rsidRDefault="00D878D3" w:rsidP="00221731">
            <w:pPr>
              <w:spacing w:before="80" w:after="80"/>
              <w:ind w:left="65"/>
              <w:jc w:val="center"/>
              <w:rPr>
                <w:rFonts w:cs="Arial"/>
                <w:b/>
                <w:color w:val="595959"/>
                <w:sz w:val="18"/>
                <w:szCs w:val="18"/>
              </w:rPr>
            </w:pPr>
            <w:r w:rsidRPr="00C66156">
              <w:rPr>
                <w:rFonts w:cs="Arial"/>
                <w:b/>
                <w:color w:val="595959"/>
                <w:sz w:val="18"/>
                <w:szCs w:val="18"/>
              </w:rPr>
              <w:t>1</w:t>
            </w:r>
          </w:p>
        </w:tc>
        <w:tc>
          <w:tcPr>
            <w:tcW w:w="1320" w:type="dxa"/>
            <w:tcBorders>
              <w:bottom w:val="single" w:sz="4" w:space="0" w:color="FFFFFF" w:themeColor="background1"/>
              <w:right w:val="single" w:sz="4" w:space="0" w:color="FFFFFF" w:themeColor="background1"/>
            </w:tcBorders>
            <w:shd w:val="clear" w:color="auto" w:fill="00B050"/>
            <w:vAlign w:val="center"/>
          </w:tcPr>
          <w:p w14:paraId="5E98DD15" w14:textId="77777777" w:rsidR="00D878D3" w:rsidRPr="002933B5" w:rsidRDefault="00D878D3" w:rsidP="00221731">
            <w:pPr>
              <w:pStyle w:val="Tabletext"/>
              <w:spacing w:before="80" w:after="80"/>
              <w:jc w:val="center"/>
              <w:rPr>
                <w:color w:val="FFFFFF" w:themeColor="background1"/>
              </w:rPr>
            </w:pPr>
            <w:r w:rsidRPr="002933B5">
              <w:rPr>
                <w:color w:val="FFFFFF" w:themeColor="background1"/>
              </w:rPr>
              <w:t>1</w:t>
            </w:r>
            <w:r w:rsidRPr="002933B5">
              <w:rPr>
                <w:color w:val="FFFFFF" w:themeColor="background1"/>
              </w:rPr>
              <w:br/>
            </w:r>
            <w:r w:rsidRPr="002933B5">
              <w:rPr>
                <w:color w:val="FFFFFF" w:themeColor="background1"/>
                <w:sz w:val="16"/>
                <w:szCs w:val="16"/>
              </w:rPr>
              <w:t>LOW</w:t>
            </w:r>
          </w:p>
        </w:tc>
        <w:tc>
          <w:tcPr>
            <w:tcW w:w="1320" w:type="dxa"/>
            <w:tcBorders>
              <w:left w:val="single" w:sz="4" w:space="0" w:color="FFFFFF" w:themeColor="background1"/>
              <w:bottom w:val="single" w:sz="4" w:space="0" w:color="FFFFFF" w:themeColor="background1"/>
              <w:right w:val="single" w:sz="4" w:space="0" w:color="FFFFFF" w:themeColor="background1"/>
            </w:tcBorders>
            <w:shd w:val="clear" w:color="auto" w:fill="00B050"/>
            <w:vAlign w:val="center"/>
          </w:tcPr>
          <w:p w14:paraId="29664B18" w14:textId="77777777" w:rsidR="00D878D3" w:rsidRPr="002933B5" w:rsidRDefault="00D878D3" w:rsidP="00221731">
            <w:pPr>
              <w:pStyle w:val="Tabletext"/>
              <w:spacing w:before="80" w:after="80"/>
              <w:jc w:val="center"/>
              <w:rPr>
                <w:color w:val="FFFFFF" w:themeColor="background1"/>
              </w:rPr>
            </w:pPr>
            <w:r w:rsidRPr="002933B5">
              <w:rPr>
                <w:color w:val="FFFFFF" w:themeColor="background1"/>
              </w:rPr>
              <w:t>2</w:t>
            </w:r>
            <w:r w:rsidRPr="002933B5">
              <w:rPr>
                <w:color w:val="FFFFFF" w:themeColor="background1"/>
              </w:rPr>
              <w:br/>
            </w:r>
            <w:r w:rsidRPr="002933B5">
              <w:rPr>
                <w:color w:val="FFFFFF" w:themeColor="background1"/>
                <w:sz w:val="16"/>
                <w:szCs w:val="16"/>
              </w:rPr>
              <w:t>LOW</w:t>
            </w:r>
          </w:p>
        </w:tc>
        <w:tc>
          <w:tcPr>
            <w:tcW w:w="1321" w:type="dxa"/>
            <w:tcBorders>
              <w:left w:val="single" w:sz="4" w:space="0" w:color="FFFFFF" w:themeColor="background1"/>
              <w:bottom w:val="single" w:sz="4" w:space="0" w:color="FFFFFF" w:themeColor="background1"/>
              <w:right w:val="single" w:sz="4" w:space="0" w:color="FFFFFF" w:themeColor="background1"/>
            </w:tcBorders>
            <w:shd w:val="clear" w:color="auto" w:fill="00B050"/>
            <w:vAlign w:val="center"/>
          </w:tcPr>
          <w:p w14:paraId="545B90BD" w14:textId="77777777" w:rsidR="00D878D3" w:rsidRPr="002933B5" w:rsidRDefault="00D878D3" w:rsidP="00221731">
            <w:pPr>
              <w:pStyle w:val="Tabletext"/>
              <w:jc w:val="center"/>
              <w:rPr>
                <w:color w:val="FFFFFF" w:themeColor="background1"/>
              </w:rPr>
            </w:pPr>
            <w:r w:rsidRPr="002933B5">
              <w:rPr>
                <w:color w:val="FFFFFF" w:themeColor="background1"/>
              </w:rPr>
              <w:t>3</w:t>
            </w:r>
            <w:r w:rsidRPr="002933B5">
              <w:rPr>
                <w:color w:val="FFFFFF" w:themeColor="background1"/>
              </w:rPr>
              <w:br/>
            </w:r>
            <w:r w:rsidRPr="002933B5">
              <w:rPr>
                <w:color w:val="FFFFFF" w:themeColor="background1"/>
                <w:sz w:val="16"/>
                <w:szCs w:val="16"/>
              </w:rPr>
              <w:t>LOW</w:t>
            </w:r>
          </w:p>
        </w:tc>
        <w:tc>
          <w:tcPr>
            <w:tcW w:w="1321" w:type="dxa"/>
            <w:tcBorders>
              <w:left w:val="single" w:sz="4" w:space="0" w:color="FFFFFF" w:themeColor="background1"/>
              <w:bottom w:val="single" w:sz="4" w:space="0" w:color="FFFFFF" w:themeColor="background1"/>
              <w:right w:val="single" w:sz="4" w:space="0" w:color="FFFFFF" w:themeColor="background1"/>
            </w:tcBorders>
            <w:shd w:val="clear" w:color="auto" w:fill="00B050"/>
            <w:vAlign w:val="center"/>
          </w:tcPr>
          <w:p w14:paraId="57CC8544" w14:textId="77777777" w:rsidR="00D878D3" w:rsidRPr="002933B5" w:rsidRDefault="00D878D3" w:rsidP="00221731">
            <w:pPr>
              <w:pStyle w:val="Tabletext"/>
              <w:jc w:val="center"/>
              <w:rPr>
                <w:color w:val="FFFFFF" w:themeColor="background1"/>
              </w:rPr>
            </w:pPr>
            <w:r w:rsidRPr="002933B5">
              <w:rPr>
                <w:color w:val="FFFFFF" w:themeColor="background1"/>
              </w:rPr>
              <w:t>4</w:t>
            </w:r>
            <w:r w:rsidRPr="002933B5">
              <w:rPr>
                <w:color w:val="FFFFFF" w:themeColor="background1"/>
              </w:rPr>
              <w:br/>
            </w:r>
            <w:r w:rsidRPr="002933B5">
              <w:rPr>
                <w:color w:val="FFFFFF" w:themeColor="background1"/>
                <w:sz w:val="16"/>
                <w:szCs w:val="16"/>
              </w:rPr>
              <w:t>LOW</w:t>
            </w:r>
          </w:p>
        </w:tc>
        <w:tc>
          <w:tcPr>
            <w:tcW w:w="1321" w:type="dxa"/>
            <w:tcBorders>
              <w:left w:val="single" w:sz="4" w:space="0" w:color="FFFFFF" w:themeColor="background1"/>
              <w:bottom w:val="single" w:sz="4" w:space="0" w:color="FFFFFF" w:themeColor="background1"/>
            </w:tcBorders>
            <w:shd w:val="clear" w:color="auto" w:fill="00B050"/>
            <w:vAlign w:val="center"/>
          </w:tcPr>
          <w:p w14:paraId="5C215D0A" w14:textId="77777777" w:rsidR="00D878D3" w:rsidRPr="002933B5" w:rsidRDefault="00D878D3" w:rsidP="00221731">
            <w:pPr>
              <w:pStyle w:val="Tabletext"/>
              <w:spacing w:before="80" w:after="80"/>
              <w:jc w:val="center"/>
              <w:rPr>
                <w:color w:val="FFFFFF" w:themeColor="background1"/>
              </w:rPr>
            </w:pPr>
            <w:r w:rsidRPr="002933B5">
              <w:rPr>
                <w:color w:val="FFFFFF" w:themeColor="background1"/>
              </w:rPr>
              <w:t>5</w:t>
            </w:r>
            <w:r w:rsidRPr="002933B5">
              <w:rPr>
                <w:color w:val="FFFFFF" w:themeColor="background1"/>
              </w:rPr>
              <w:br/>
            </w:r>
            <w:r w:rsidRPr="002933B5">
              <w:rPr>
                <w:color w:val="FFFFFF" w:themeColor="background1"/>
                <w:sz w:val="16"/>
                <w:szCs w:val="16"/>
              </w:rPr>
              <w:t>LOW</w:t>
            </w:r>
          </w:p>
        </w:tc>
      </w:tr>
      <w:tr w:rsidR="00D878D3" w:rsidRPr="006C4ED0" w14:paraId="56C8606C" w14:textId="77777777" w:rsidTr="00151EBE">
        <w:tc>
          <w:tcPr>
            <w:tcW w:w="1418" w:type="dxa"/>
            <w:tcBorders>
              <w:top w:val="nil"/>
              <w:bottom w:val="nil"/>
            </w:tcBorders>
            <w:shd w:val="clear" w:color="auto" w:fill="D9D9D9" w:themeFill="background1" w:themeFillShade="D9"/>
          </w:tcPr>
          <w:p w14:paraId="6DD051D2" w14:textId="77777777" w:rsidR="00D878D3" w:rsidRPr="002D0C27" w:rsidRDefault="00D878D3" w:rsidP="00221731">
            <w:pPr>
              <w:spacing w:before="80" w:after="80"/>
              <w:rPr>
                <w:color w:val="595959"/>
              </w:rPr>
            </w:pPr>
          </w:p>
        </w:tc>
        <w:tc>
          <w:tcPr>
            <w:tcW w:w="709" w:type="dxa"/>
            <w:tcBorders>
              <w:top w:val="single" w:sz="4" w:space="0" w:color="FFFFFF" w:themeColor="background1"/>
              <w:bottom w:val="single" w:sz="4" w:space="0" w:color="FFFFFF" w:themeColor="background1"/>
              <w:right w:val="single" w:sz="4" w:space="0" w:color="auto"/>
            </w:tcBorders>
            <w:shd w:val="clear" w:color="auto" w:fill="D9D9D9" w:themeFill="background1" w:themeFillShade="D9"/>
            <w:vAlign w:val="center"/>
          </w:tcPr>
          <w:p w14:paraId="6BDFE15E" w14:textId="77777777" w:rsidR="00D878D3" w:rsidRPr="00C66156" w:rsidRDefault="00D878D3" w:rsidP="00221731">
            <w:pPr>
              <w:spacing w:before="80" w:after="80"/>
              <w:ind w:left="65"/>
              <w:jc w:val="center"/>
              <w:rPr>
                <w:rFonts w:cs="Arial"/>
                <w:b/>
                <w:color w:val="595959"/>
                <w:sz w:val="18"/>
                <w:szCs w:val="18"/>
              </w:rPr>
            </w:pPr>
            <w:r w:rsidRPr="00C66156">
              <w:rPr>
                <w:rFonts w:cs="Arial"/>
                <w:b/>
                <w:color w:val="595959"/>
                <w:sz w:val="18"/>
                <w:szCs w:val="18"/>
              </w:rPr>
              <w:t>2</w:t>
            </w:r>
          </w:p>
        </w:tc>
        <w:tc>
          <w:tcPr>
            <w:tcW w:w="1320" w:type="dxa"/>
            <w:tcBorders>
              <w:top w:val="single" w:sz="4" w:space="0" w:color="FFFFFF" w:themeColor="background1"/>
              <w:left w:val="single" w:sz="4" w:space="0" w:color="auto"/>
              <w:bottom w:val="single" w:sz="4" w:space="0" w:color="FFFFFF" w:themeColor="background1"/>
              <w:right w:val="single" w:sz="4" w:space="0" w:color="FFFFFF" w:themeColor="background1"/>
            </w:tcBorders>
            <w:shd w:val="clear" w:color="auto" w:fill="00B050"/>
            <w:vAlign w:val="center"/>
          </w:tcPr>
          <w:p w14:paraId="06D5CB90" w14:textId="77777777" w:rsidR="00D878D3" w:rsidRPr="002933B5" w:rsidRDefault="00D878D3" w:rsidP="00221731">
            <w:pPr>
              <w:pStyle w:val="Tabletext"/>
              <w:spacing w:before="80" w:after="80"/>
              <w:jc w:val="center"/>
              <w:rPr>
                <w:color w:val="FFFFFF" w:themeColor="background1"/>
              </w:rPr>
            </w:pPr>
            <w:r w:rsidRPr="002933B5">
              <w:rPr>
                <w:color w:val="FFFFFF" w:themeColor="background1"/>
              </w:rPr>
              <w:t>2</w:t>
            </w:r>
            <w:r w:rsidRPr="002933B5">
              <w:rPr>
                <w:color w:val="FFFFFF" w:themeColor="background1"/>
              </w:rPr>
              <w:br/>
            </w:r>
            <w:r w:rsidRPr="002933B5">
              <w:rPr>
                <w:color w:val="FFFFFF" w:themeColor="background1"/>
                <w:sz w:val="16"/>
                <w:szCs w:val="16"/>
              </w:rPr>
              <w:t>LOW</w:t>
            </w:r>
          </w:p>
        </w:tc>
        <w:tc>
          <w:tcPr>
            <w:tcW w:w="13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B050"/>
            <w:vAlign w:val="center"/>
          </w:tcPr>
          <w:p w14:paraId="52EF02E4" w14:textId="77777777" w:rsidR="00D878D3" w:rsidRPr="002933B5" w:rsidRDefault="00D878D3" w:rsidP="00221731">
            <w:pPr>
              <w:pStyle w:val="Tabletext"/>
              <w:spacing w:before="80" w:after="80"/>
              <w:jc w:val="center"/>
              <w:rPr>
                <w:color w:val="FFFFFF" w:themeColor="background1"/>
              </w:rPr>
            </w:pPr>
            <w:r w:rsidRPr="002933B5">
              <w:rPr>
                <w:color w:val="FFFFFF" w:themeColor="background1"/>
              </w:rPr>
              <w:t>4</w:t>
            </w:r>
            <w:r w:rsidRPr="002933B5">
              <w:rPr>
                <w:color w:val="FFFFFF" w:themeColor="background1"/>
              </w:rPr>
              <w:br/>
            </w:r>
            <w:r w:rsidRPr="002933B5">
              <w:rPr>
                <w:color w:val="FFFFFF" w:themeColor="background1"/>
                <w:sz w:val="16"/>
                <w:szCs w:val="16"/>
              </w:rPr>
              <w:t>LOW</w:t>
            </w:r>
          </w:p>
        </w:tc>
        <w:tc>
          <w:tcPr>
            <w:tcW w:w="13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B050"/>
            <w:vAlign w:val="center"/>
          </w:tcPr>
          <w:p w14:paraId="364ECBC8" w14:textId="77777777" w:rsidR="00D878D3" w:rsidRPr="002933B5" w:rsidRDefault="00D878D3" w:rsidP="00221731">
            <w:pPr>
              <w:pStyle w:val="Tabletext"/>
              <w:jc w:val="center"/>
              <w:rPr>
                <w:color w:val="FFFFFF" w:themeColor="background1"/>
              </w:rPr>
            </w:pPr>
            <w:r w:rsidRPr="002933B5">
              <w:rPr>
                <w:color w:val="FFFFFF" w:themeColor="background1"/>
              </w:rPr>
              <w:t>6</w:t>
            </w:r>
            <w:r w:rsidRPr="002933B5">
              <w:rPr>
                <w:color w:val="FFFFFF" w:themeColor="background1"/>
              </w:rPr>
              <w:br/>
            </w:r>
            <w:r w:rsidRPr="002933B5">
              <w:rPr>
                <w:color w:val="FFFFFF" w:themeColor="background1"/>
                <w:sz w:val="16"/>
                <w:szCs w:val="16"/>
              </w:rPr>
              <w:t>LOW</w:t>
            </w:r>
          </w:p>
        </w:tc>
        <w:tc>
          <w:tcPr>
            <w:tcW w:w="13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CECFF"/>
            <w:vAlign w:val="center"/>
          </w:tcPr>
          <w:p w14:paraId="07EC812A" w14:textId="77777777" w:rsidR="00D878D3" w:rsidRPr="006C4ED0" w:rsidRDefault="00D878D3" w:rsidP="00221731">
            <w:pPr>
              <w:pStyle w:val="Tabletext"/>
              <w:jc w:val="center"/>
            </w:pPr>
            <w:r>
              <w:t>8</w:t>
            </w:r>
            <w:r>
              <w:br/>
            </w:r>
            <w:r>
              <w:rPr>
                <w:sz w:val="16"/>
                <w:szCs w:val="16"/>
              </w:rPr>
              <w:t>MEDIUM</w:t>
            </w:r>
          </w:p>
        </w:tc>
        <w:tc>
          <w:tcPr>
            <w:tcW w:w="1321" w:type="dxa"/>
            <w:tcBorders>
              <w:top w:val="single" w:sz="4" w:space="0" w:color="FFFFFF" w:themeColor="background1"/>
              <w:left w:val="single" w:sz="4" w:space="0" w:color="FFFFFF" w:themeColor="background1"/>
              <w:bottom w:val="single" w:sz="4" w:space="0" w:color="FFFFFF" w:themeColor="background1"/>
            </w:tcBorders>
            <w:shd w:val="clear" w:color="auto" w:fill="CCECFF"/>
            <w:vAlign w:val="center"/>
          </w:tcPr>
          <w:p w14:paraId="1723E301" w14:textId="77777777" w:rsidR="00D878D3" w:rsidRPr="006C4ED0" w:rsidRDefault="00D878D3" w:rsidP="00221731">
            <w:pPr>
              <w:pStyle w:val="Tabletext"/>
              <w:jc w:val="center"/>
            </w:pPr>
            <w:r>
              <w:t>10</w:t>
            </w:r>
            <w:r>
              <w:br/>
            </w:r>
            <w:r>
              <w:rPr>
                <w:sz w:val="16"/>
                <w:szCs w:val="16"/>
              </w:rPr>
              <w:t>MEDIUM</w:t>
            </w:r>
          </w:p>
        </w:tc>
      </w:tr>
      <w:tr w:rsidR="00D878D3" w:rsidRPr="006C4ED0" w14:paraId="7574B996" w14:textId="77777777" w:rsidTr="00151EBE">
        <w:tc>
          <w:tcPr>
            <w:tcW w:w="1418" w:type="dxa"/>
            <w:tcBorders>
              <w:top w:val="nil"/>
              <w:bottom w:val="nil"/>
            </w:tcBorders>
            <w:shd w:val="clear" w:color="auto" w:fill="D9D9D9" w:themeFill="background1" w:themeFillShade="D9"/>
          </w:tcPr>
          <w:p w14:paraId="6027FEE0" w14:textId="6DF77877" w:rsidR="00D878D3" w:rsidRPr="002D0C27" w:rsidRDefault="00151EBE" w:rsidP="00221731">
            <w:pPr>
              <w:spacing w:before="80" w:after="80"/>
              <w:rPr>
                <w:color w:val="595959"/>
              </w:rPr>
            </w:pPr>
            <w:r w:rsidRPr="00C66156">
              <w:rPr>
                <w:rFonts w:cs="Arial"/>
                <w:b/>
                <w:color w:val="595959"/>
                <w:sz w:val="18"/>
                <w:szCs w:val="18"/>
              </w:rPr>
              <w:t>Consequence</w:t>
            </w:r>
          </w:p>
        </w:tc>
        <w:tc>
          <w:tcPr>
            <w:tcW w:w="709" w:type="dxa"/>
            <w:tcBorders>
              <w:top w:val="single" w:sz="4" w:space="0" w:color="FFFFFF" w:themeColor="background1"/>
              <w:bottom w:val="single" w:sz="4" w:space="0" w:color="FFFFFF" w:themeColor="background1"/>
            </w:tcBorders>
            <w:shd w:val="clear" w:color="auto" w:fill="D9D9D9" w:themeFill="background1" w:themeFillShade="D9"/>
            <w:vAlign w:val="center"/>
          </w:tcPr>
          <w:p w14:paraId="7969C9F0" w14:textId="77777777" w:rsidR="00D878D3" w:rsidRPr="00C66156" w:rsidRDefault="00D878D3" w:rsidP="00221731">
            <w:pPr>
              <w:spacing w:before="80" w:after="80"/>
              <w:ind w:left="65"/>
              <w:jc w:val="center"/>
              <w:rPr>
                <w:rFonts w:cs="Arial"/>
                <w:b/>
                <w:color w:val="595959"/>
                <w:sz w:val="18"/>
                <w:szCs w:val="18"/>
              </w:rPr>
            </w:pPr>
            <w:r w:rsidRPr="00C66156">
              <w:rPr>
                <w:rFonts w:cs="Arial"/>
                <w:b/>
                <w:color w:val="595959"/>
                <w:sz w:val="18"/>
                <w:szCs w:val="18"/>
              </w:rPr>
              <w:t>3</w:t>
            </w:r>
          </w:p>
        </w:tc>
        <w:tc>
          <w:tcPr>
            <w:tcW w:w="1320" w:type="dxa"/>
            <w:tcBorders>
              <w:top w:val="single" w:sz="4" w:space="0" w:color="FFFFFF" w:themeColor="background1"/>
              <w:bottom w:val="single" w:sz="4" w:space="0" w:color="FFFFFF" w:themeColor="background1"/>
              <w:right w:val="single" w:sz="4" w:space="0" w:color="FFFFFF" w:themeColor="background1"/>
            </w:tcBorders>
            <w:shd w:val="clear" w:color="auto" w:fill="00B050"/>
            <w:vAlign w:val="center"/>
          </w:tcPr>
          <w:p w14:paraId="6A74F1F9" w14:textId="77777777" w:rsidR="00D878D3" w:rsidRPr="002933B5" w:rsidRDefault="00D878D3" w:rsidP="00221731">
            <w:pPr>
              <w:pStyle w:val="Tabletext"/>
              <w:spacing w:before="80" w:after="80"/>
              <w:jc w:val="center"/>
              <w:rPr>
                <w:color w:val="FFFFFF" w:themeColor="background1"/>
              </w:rPr>
            </w:pPr>
            <w:r w:rsidRPr="002933B5">
              <w:rPr>
                <w:color w:val="FFFFFF" w:themeColor="background1"/>
              </w:rPr>
              <w:t>3</w:t>
            </w:r>
            <w:r w:rsidRPr="002933B5">
              <w:rPr>
                <w:color w:val="FFFFFF" w:themeColor="background1"/>
              </w:rPr>
              <w:br/>
            </w:r>
            <w:r w:rsidRPr="002933B5">
              <w:rPr>
                <w:color w:val="FFFFFF" w:themeColor="background1"/>
                <w:sz w:val="16"/>
                <w:szCs w:val="16"/>
              </w:rPr>
              <w:t>LOW</w:t>
            </w:r>
          </w:p>
        </w:tc>
        <w:tc>
          <w:tcPr>
            <w:tcW w:w="13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B050"/>
            <w:vAlign w:val="center"/>
          </w:tcPr>
          <w:p w14:paraId="2373CBFA" w14:textId="77777777" w:rsidR="00D878D3" w:rsidRPr="002933B5" w:rsidRDefault="00D878D3" w:rsidP="00221731">
            <w:pPr>
              <w:pStyle w:val="Tabletext"/>
              <w:spacing w:before="80" w:after="80"/>
              <w:jc w:val="center"/>
              <w:rPr>
                <w:color w:val="FFFFFF" w:themeColor="background1"/>
              </w:rPr>
            </w:pPr>
            <w:r w:rsidRPr="002933B5">
              <w:rPr>
                <w:color w:val="FFFFFF" w:themeColor="background1"/>
              </w:rPr>
              <w:t>6</w:t>
            </w:r>
            <w:r w:rsidRPr="002933B5">
              <w:rPr>
                <w:color w:val="FFFFFF" w:themeColor="background1"/>
              </w:rPr>
              <w:br/>
            </w:r>
            <w:r w:rsidRPr="002933B5">
              <w:rPr>
                <w:color w:val="FFFFFF" w:themeColor="background1"/>
                <w:sz w:val="16"/>
                <w:szCs w:val="16"/>
              </w:rPr>
              <w:t>LOW</w:t>
            </w:r>
          </w:p>
        </w:tc>
        <w:tc>
          <w:tcPr>
            <w:tcW w:w="13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CECFF"/>
            <w:vAlign w:val="center"/>
          </w:tcPr>
          <w:p w14:paraId="2C650C97" w14:textId="77777777" w:rsidR="00D878D3" w:rsidRPr="006C4ED0" w:rsidRDefault="00D878D3" w:rsidP="00221731">
            <w:pPr>
              <w:pStyle w:val="Tabletext"/>
              <w:jc w:val="center"/>
            </w:pPr>
            <w:r>
              <w:t>9</w:t>
            </w:r>
            <w:r>
              <w:br/>
            </w:r>
            <w:r>
              <w:rPr>
                <w:sz w:val="16"/>
                <w:szCs w:val="16"/>
              </w:rPr>
              <w:t>MEDIUM</w:t>
            </w:r>
          </w:p>
        </w:tc>
        <w:tc>
          <w:tcPr>
            <w:tcW w:w="13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CECFF"/>
            <w:vAlign w:val="center"/>
          </w:tcPr>
          <w:p w14:paraId="3BA0BD5F" w14:textId="77777777" w:rsidR="00D878D3" w:rsidRPr="006C4ED0" w:rsidRDefault="00D878D3" w:rsidP="00221731">
            <w:pPr>
              <w:pStyle w:val="Tabletext"/>
              <w:jc w:val="center"/>
            </w:pPr>
            <w:r>
              <w:t>12</w:t>
            </w:r>
            <w:r>
              <w:br/>
            </w:r>
            <w:r>
              <w:rPr>
                <w:sz w:val="16"/>
                <w:szCs w:val="16"/>
              </w:rPr>
              <w:t>MEDIUM</w:t>
            </w:r>
          </w:p>
        </w:tc>
        <w:tc>
          <w:tcPr>
            <w:tcW w:w="1321" w:type="dxa"/>
            <w:tcBorders>
              <w:top w:val="single" w:sz="4" w:space="0" w:color="FFFFFF" w:themeColor="background1"/>
              <w:left w:val="single" w:sz="4" w:space="0" w:color="FFFFFF" w:themeColor="background1"/>
              <w:bottom w:val="single" w:sz="4" w:space="0" w:color="FFFFFF" w:themeColor="background1"/>
            </w:tcBorders>
            <w:shd w:val="clear" w:color="auto" w:fill="FFCC00"/>
            <w:vAlign w:val="center"/>
          </w:tcPr>
          <w:p w14:paraId="208DA80D" w14:textId="77777777" w:rsidR="00D878D3" w:rsidRPr="006C4ED0" w:rsidRDefault="00D878D3" w:rsidP="00221731">
            <w:pPr>
              <w:pStyle w:val="Tabletext"/>
              <w:jc w:val="center"/>
            </w:pPr>
            <w:r>
              <w:t>15</w:t>
            </w:r>
            <w:r>
              <w:br/>
            </w:r>
            <w:r>
              <w:rPr>
                <w:sz w:val="16"/>
                <w:szCs w:val="16"/>
              </w:rPr>
              <w:t>HIGH</w:t>
            </w:r>
          </w:p>
        </w:tc>
      </w:tr>
      <w:tr w:rsidR="00D878D3" w:rsidRPr="006C4ED0" w14:paraId="734ACBC4" w14:textId="77777777" w:rsidTr="00151EBE">
        <w:tc>
          <w:tcPr>
            <w:tcW w:w="1418" w:type="dxa"/>
            <w:tcBorders>
              <w:top w:val="nil"/>
              <w:bottom w:val="nil"/>
            </w:tcBorders>
            <w:shd w:val="clear" w:color="auto" w:fill="D9D9D9" w:themeFill="background1" w:themeFillShade="D9"/>
          </w:tcPr>
          <w:p w14:paraId="1A00988B" w14:textId="77777777" w:rsidR="00D878D3" w:rsidRPr="002D0C27" w:rsidRDefault="00D878D3" w:rsidP="00221731">
            <w:pPr>
              <w:spacing w:before="80" w:after="80"/>
              <w:rPr>
                <w:color w:val="595959"/>
              </w:rPr>
            </w:pPr>
          </w:p>
        </w:tc>
        <w:tc>
          <w:tcPr>
            <w:tcW w:w="709" w:type="dxa"/>
            <w:tcBorders>
              <w:top w:val="single" w:sz="4" w:space="0" w:color="FFFFFF" w:themeColor="background1"/>
              <w:bottom w:val="single" w:sz="4" w:space="0" w:color="FFFFFF" w:themeColor="background1"/>
            </w:tcBorders>
            <w:shd w:val="clear" w:color="auto" w:fill="D9D9D9" w:themeFill="background1" w:themeFillShade="D9"/>
            <w:vAlign w:val="center"/>
          </w:tcPr>
          <w:p w14:paraId="23E8D94D" w14:textId="77777777" w:rsidR="00D878D3" w:rsidRPr="00C66156" w:rsidRDefault="00D878D3" w:rsidP="00221731">
            <w:pPr>
              <w:spacing w:before="80" w:after="80"/>
              <w:ind w:left="65"/>
              <w:jc w:val="center"/>
              <w:rPr>
                <w:rFonts w:cs="Arial"/>
                <w:b/>
                <w:color w:val="595959"/>
                <w:sz w:val="18"/>
                <w:szCs w:val="18"/>
              </w:rPr>
            </w:pPr>
            <w:r w:rsidRPr="00C66156">
              <w:rPr>
                <w:rFonts w:cs="Arial"/>
                <w:b/>
                <w:color w:val="595959"/>
                <w:sz w:val="18"/>
                <w:szCs w:val="18"/>
              </w:rPr>
              <w:t>4</w:t>
            </w:r>
          </w:p>
        </w:tc>
        <w:tc>
          <w:tcPr>
            <w:tcW w:w="1320" w:type="dxa"/>
            <w:tcBorders>
              <w:top w:val="single" w:sz="4" w:space="0" w:color="FFFFFF" w:themeColor="background1"/>
              <w:bottom w:val="single" w:sz="4" w:space="0" w:color="FFFFFF" w:themeColor="background1"/>
              <w:right w:val="single" w:sz="4" w:space="0" w:color="FFFFFF" w:themeColor="background1"/>
            </w:tcBorders>
            <w:shd w:val="clear" w:color="auto" w:fill="00B050"/>
            <w:vAlign w:val="center"/>
          </w:tcPr>
          <w:p w14:paraId="36E5196B" w14:textId="77777777" w:rsidR="00D878D3" w:rsidRPr="002933B5" w:rsidRDefault="00D878D3" w:rsidP="00221731">
            <w:pPr>
              <w:pStyle w:val="Tabletext"/>
              <w:spacing w:before="80" w:after="80"/>
              <w:jc w:val="center"/>
              <w:rPr>
                <w:color w:val="FFFFFF" w:themeColor="background1"/>
              </w:rPr>
            </w:pPr>
            <w:r w:rsidRPr="002933B5">
              <w:rPr>
                <w:color w:val="FFFFFF" w:themeColor="background1"/>
              </w:rPr>
              <w:t>4</w:t>
            </w:r>
            <w:r w:rsidRPr="002933B5">
              <w:rPr>
                <w:color w:val="FFFFFF" w:themeColor="background1"/>
              </w:rPr>
              <w:br/>
            </w:r>
            <w:r w:rsidRPr="002933B5">
              <w:rPr>
                <w:color w:val="FFFFFF" w:themeColor="background1"/>
                <w:sz w:val="16"/>
                <w:szCs w:val="16"/>
              </w:rPr>
              <w:t>LOW</w:t>
            </w:r>
          </w:p>
        </w:tc>
        <w:tc>
          <w:tcPr>
            <w:tcW w:w="13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CECFF"/>
            <w:vAlign w:val="center"/>
          </w:tcPr>
          <w:p w14:paraId="0E0CEB6D" w14:textId="77777777" w:rsidR="00D878D3" w:rsidRPr="006C4ED0" w:rsidRDefault="00D878D3" w:rsidP="00221731">
            <w:pPr>
              <w:pStyle w:val="Tabletext"/>
              <w:spacing w:before="80" w:after="80"/>
              <w:jc w:val="center"/>
            </w:pPr>
            <w:r>
              <w:t>8</w:t>
            </w:r>
            <w:r>
              <w:br/>
            </w:r>
            <w:r>
              <w:rPr>
                <w:sz w:val="16"/>
                <w:szCs w:val="16"/>
              </w:rPr>
              <w:t>MEDIUM</w:t>
            </w:r>
          </w:p>
        </w:tc>
        <w:tc>
          <w:tcPr>
            <w:tcW w:w="13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CECFF"/>
            <w:vAlign w:val="center"/>
          </w:tcPr>
          <w:p w14:paraId="20B06800" w14:textId="77777777" w:rsidR="00D878D3" w:rsidRPr="006C4ED0" w:rsidRDefault="00D878D3" w:rsidP="00221731">
            <w:pPr>
              <w:pStyle w:val="Tabletext"/>
              <w:jc w:val="center"/>
            </w:pPr>
            <w:r>
              <w:t>12</w:t>
            </w:r>
            <w:r>
              <w:br/>
            </w:r>
            <w:r>
              <w:rPr>
                <w:sz w:val="16"/>
                <w:szCs w:val="16"/>
              </w:rPr>
              <w:t>MEDIUM</w:t>
            </w:r>
          </w:p>
        </w:tc>
        <w:tc>
          <w:tcPr>
            <w:tcW w:w="13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CC00"/>
            <w:vAlign w:val="center"/>
          </w:tcPr>
          <w:p w14:paraId="2A9292B5" w14:textId="77777777" w:rsidR="00D878D3" w:rsidRPr="006C4ED0" w:rsidRDefault="00D878D3" w:rsidP="00221731">
            <w:pPr>
              <w:pStyle w:val="Tabletext"/>
              <w:jc w:val="center"/>
            </w:pPr>
            <w:r>
              <w:t>16</w:t>
            </w:r>
            <w:r>
              <w:br/>
            </w:r>
            <w:r>
              <w:rPr>
                <w:sz w:val="16"/>
                <w:szCs w:val="16"/>
              </w:rPr>
              <w:t>HIGH</w:t>
            </w:r>
          </w:p>
        </w:tc>
        <w:tc>
          <w:tcPr>
            <w:tcW w:w="1321" w:type="dxa"/>
            <w:tcBorders>
              <w:top w:val="single" w:sz="4" w:space="0" w:color="FFFFFF" w:themeColor="background1"/>
              <w:left w:val="single" w:sz="4" w:space="0" w:color="FFFFFF" w:themeColor="background1"/>
              <w:bottom w:val="single" w:sz="4" w:space="0" w:color="FFFFFF" w:themeColor="background1"/>
            </w:tcBorders>
            <w:shd w:val="clear" w:color="auto" w:fill="FF6600"/>
            <w:vAlign w:val="center"/>
          </w:tcPr>
          <w:p w14:paraId="5412E0E6" w14:textId="77777777" w:rsidR="00D878D3" w:rsidRPr="006C4ED0" w:rsidRDefault="00D878D3" w:rsidP="00221731">
            <w:pPr>
              <w:pStyle w:val="Tabletext"/>
              <w:jc w:val="center"/>
            </w:pPr>
            <w:r>
              <w:t>20</w:t>
            </w:r>
            <w:r>
              <w:br/>
            </w:r>
            <w:r>
              <w:rPr>
                <w:sz w:val="16"/>
                <w:szCs w:val="16"/>
              </w:rPr>
              <w:t>VERY HIGH</w:t>
            </w:r>
          </w:p>
        </w:tc>
      </w:tr>
      <w:tr w:rsidR="00D878D3" w:rsidRPr="006C4ED0" w14:paraId="5FD6D5FB" w14:textId="77777777" w:rsidTr="00151EBE">
        <w:tc>
          <w:tcPr>
            <w:tcW w:w="1418" w:type="dxa"/>
            <w:tcBorders>
              <w:top w:val="nil"/>
            </w:tcBorders>
            <w:shd w:val="clear" w:color="auto" w:fill="D9D9D9" w:themeFill="background1" w:themeFillShade="D9"/>
          </w:tcPr>
          <w:p w14:paraId="177813D8" w14:textId="77777777" w:rsidR="00D878D3" w:rsidRPr="002D0C27" w:rsidRDefault="00D878D3" w:rsidP="00221731">
            <w:pPr>
              <w:spacing w:before="80" w:after="80"/>
              <w:rPr>
                <w:color w:val="595959"/>
              </w:rPr>
            </w:pPr>
          </w:p>
        </w:tc>
        <w:tc>
          <w:tcPr>
            <w:tcW w:w="709" w:type="dxa"/>
            <w:tcBorders>
              <w:top w:val="single" w:sz="4" w:space="0" w:color="FFFFFF" w:themeColor="background1"/>
            </w:tcBorders>
            <w:shd w:val="clear" w:color="auto" w:fill="D9D9D9" w:themeFill="background1" w:themeFillShade="D9"/>
            <w:vAlign w:val="center"/>
          </w:tcPr>
          <w:p w14:paraId="749DFFAF" w14:textId="77777777" w:rsidR="00D878D3" w:rsidRPr="00C66156" w:rsidRDefault="00D878D3" w:rsidP="00221731">
            <w:pPr>
              <w:spacing w:before="80" w:after="80"/>
              <w:ind w:left="65"/>
              <w:jc w:val="center"/>
              <w:rPr>
                <w:rFonts w:cs="Arial"/>
                <w:b/>
                <w:color w:val="595959"/>
                <w:sz w:val="18"/>
                <w:szCs w:val="18"/>
              </w:rPr>
            </w:pPr>
            <w:r w:rsidRPr="00C66156">
              <w:rPr>
                <w:rFonts w:cs="Arial"/>
                <w:b/>
                <w:color w:val="595959"/>
                <w:sz w:val="18"/>
                <w:szCs w:val="18"/>
              </w:rPr>
              <w:t>5</w:t>
            </w:r>
          </w:p>
        </w:tc>
        <w:tc>
          <w:tcPr>
            <w:tcW w:w="1320" w:type="dxa"/>
            <w:tcBorders>
              <w:top w:val="single" w:sz="4" w:space="0" w:color="FFFFFF" w:themeColor="background1"/>
              <w:bottom w:val="single" w:sz="4" w:space="0" w:color="auto"/>
              <w:right w:val="single" w:sz="4" w:space="0" w:color="FFFFFF" w:themeColor="background1"/>
            </w:tcBorders>
            <w:shd w:val="clear" w:color="auto" w:fill="00B050"/>
            <w:vAlign w:val="center"/>
          </w:tcPr>
          <w:p w14:paraId="6C66E1F2" w14:textId="77777777" w:rsidR="00D878D3" w:rsidRPr="002933B5" w:rsidRDefault="00D878D3" w:rsidP="00221731">
            <w:pPr>
              <w:pStyle w:val="Tabletext"/>
              <w:spacing w:before="80" w:after="80"/>
              <w:jc w:val="center"/>
              <w:rPr>
                <w:color w:val="FFFFFF" w:themeColor="background1"/>
              </w:rPr>
            </w:pPr>
            <w:r w:rsidRPr="002933B5">
              <w:rPr>
                <w:color w:val="FFFFFF" w:themeColor="background1"/>
              </w:rPr>
              <w:t>5</w:t>
            </w:r>
            <w:r w:rsidRPr="002933B5">
              <w:rPr>
                <w:color w:val="FFFFFF" w:themeColor="background1"/>
              </w:rPr>
              <w:br/>
            </w:r>
            <w:r w:rsidRPr="002933B5">
              <w:rPr>
                <w:color w:val="FFFFFF" w:themeColor="background1"/>
                <w:sz w:val="16"/>
                <w:szCs w:val="16"/>
              </w:rPr>
              <w:t>LOW</w:t>
            </w:r>
          </w:p>
        </w:tc>
        <w:tc>
          <w:tcPr>
            <w:tcW w:w="1320" w:type="dxa"/>
            <w:tcBorders>
              <w:top w:val="single" w:sz="4" w:space="0" w:color="FFFFFF" w:themeColor="background1"/>
              <w:left w:val="single" w:sz="4" w:space="0" w:color="FFFFFF" w:themeColor="background1"/>
              <w:right w:val="single" w:sz="4" w:space="0" w:color="FFFFFF" w:themeColor="background1"/>
            </w:tcBorders>
            <w:shd w:val="clear" w:color="auto" w:fill="CCECFF"/>
            <w:vAlign w:val="center"/>
          </w:tcPr>
          <w:p w14:paraId="41F6E70B" w14:textId="77777777" w:rsidR="00D878D3" w:rsidRPr="006C4ED0" w:rsidRDefault="00D878D3" w:rsidP="00221731">
            <w:pPr>
              <w:pStyle w:val="Tabletext"/>
              <w:spacing w:before="80" w:after="80"/>
              <w:jc w:val="center"/>
            </w:pPr>
            <w:r>
              <w:t>10</w:t>
            </w:r>
            <w:r>
              <w:br/>
            </w:r>
            <w:r>
              <w:rPr>
                <w:sz w:val="16"/>
                <w:szCs w:val="16"/>
              </w:rPr>
              <w:t>MEDIUM</w:t>
            </w:r>
          </w:p>
        </w:tc>
        <w:tc>
          <w:tcPr>
            <w:tcW w:w="1321" w:type="dxa"/>
            <w:tcBorders>
              <w:top w:val="single" w:sz="4" w:space="0" w:color="FFFFFF" w:themeColor="background1"/>
              <w:left w:val="single" w:sz="4" w:space="0" w:color="FFFFFF" w:themeColor="background1"/>
              <w:right w:val="single" w:sz="4" w:space="0" w:color="FFFFFF" w:themeColor="background1"/>
            </w:tcBorders>
            <w:shd w:val="clear" w:color="auto" w:fill="FFCC00"/>
            <w:vAlign w:val="center"/>
          </w:tcPr>
          <w:p w14:paraId="380A5AA7" w14:textId="77777777" w:rsidR="00D878D3" w:rsidRPr="006C4ED0" w:rsidRDefault="00D878D3" w:rsidP="00221731">
            <w:pPr>
              <w:pStyle w:val="Tabletext"/>
              <w:jc w:val="center"/>
            </w:pPr>
            <w:r>
              <w:t>15</w:t>
            </w:r>
            <w:r>
              <w:br/>
            </w:r>
            <w:r>
              <w:rPr>
                <w:sz w:val="16"/>
                <w:szCs w:val="16"/>
              </w:rPr>
              <w:t>HIGH</w:t>
            </w:r>
          </w:p>
        </w:tc>
        <w:tc>
          <w:tcPr>
            <w:tcW w:w="1321" w:type="dxa"/>
            <w:tcBorders>
              <w:top w:val="single" w:sz="4" w:space="0" w:color="FFFFFF" w:themeColor="background1"/>
              <w:left w:val="single" w:sz="4" w:space="0" w:color="FFFFFF" w:themeColor="background1"/>
              <w:right w:val="single" w:sz="4" w:space="0" w:color="FFFFFF" w:themeColor="background1"/>
            </w:tcBorders>
            <w:shd w:val="clear" w:color="auto" w:fill="FF6600"/>
            <w:vAlign w:val="center"/>
          </w:tcPr>
          <w:p w14:paraId="0044815A" w14:textId="77777777" w:rsidR="00D878D3" w:rsidRPr="006C4ED0" w:rsidRDefault="00D878D3" w:rsidP="00221731">
            <w:pPr>
              <w:pStyle w:val="Tabletext"/>
              <w:jc w:val="center"/>
            </w:pPr>
            <w:r>
              <w:t>20</w:t>
            </w:r>
            <w:r>
              <w:br/>
            </w:r>
            <w:r>
              <w:rPr>
                <w:sz w:val="16"/>
                <w:szCs w:val="16"/>
              </w:rPr>
              <w:t>VERY HIGH</w:t>
            </w:r>
          </w:p>
        </w:tc>
        <w:tc>
          <w:tcPr>
            <w:tcW w:w="1321" w:type="dxa"/>
            <w:tcBorders>
              <w:top w:val="single" w:sz="4" w:space="0" w:color="FFFFFF" w:themeColor="background1"/>
              <w:left w:val="single" w:sz="4" w:space="0" w:color="FFFFFF" w:themeColor="background1"/>
            </w:tcBorders>
            <w:shd w:val="clear" w:color="auto" w:fill="FF6600"/>
            <w:vAlign w:val="center"/>
          </w:tcPr>
          <w:p w14:paraId="5F231483" w14:textId="77777777" w:rsidR="00D878D3" w:rsidRPr="006C4ED0" w:rsidRDefault="00D878D3" w:rsidP="00221731">
            <w:pPr>
              <w:pStyle w:val="Tabletext"/>
              <w:jc w:val="center"/>
            </w:pPr>
            <w:r>
              <w:t>25</w:t>
            </w:r>
            <w:r>
              <w:br/>
            </w:r>
            <w:r>
              <w:rPr>
                <w:sz w:val="16"/>
                <w:szCs w:val="16"/>
              </w:rPr>
              <w:t>VERY HIGH</w:t>
            </w:r>
          </w:p>
        </w:tc>
      </w:tr>
    </w:tbl>
    <w:p w14:paraId="62381B37" w14:textId="77777777" w:rsidR="00D878D3" w:rsidRDefault="00D878D3" w:rsidP="00077952">
      <w:pPr>
        <w:pStyle w:val="BodyText"/>
      </w:pPr>
    </w:p>
    <w:p w14:paraId="1D78FBBA" w14:textId="322AE55F" w:rsidR="00D878D3" w:rsidRDefault="00D878D3" w:rsidP="00077952">
      <w:pPr>
        <w:pStyle w:val="BodyText"/>
      </w:pPr>
      <w:r>
        <w:t>Following assignment of risk levels, potential risk treatments were identified for risks identified as ‘high’ or ‘very high’. The likely effectiveness of these treatments in mitigating risk was then assessed using the same likelihood-consequence methodology and a residual risk level identified.</w:t>
      </w:r>
    </w:p>
    <w:p w14:paraId="613168D3" w14:textId="1C27C750" w:rsidR="00EF76BA" w:rsidRDefault="00EF76BA" w:rsidP="00077952">
      <w:pPr>
        <w:pStyle w:val="BodyText"/>
      </w:pPr>
      <w:r>
        <w:t>The resultant risk matrix is provided as Appendix D.</w:t>
      </w:r>
    </w:p>
    <w:p w14:paraId="50155F5D" w14:textId="5EF8426F" w:rsidR="008C366C" w:rsidRDefault="008C366C" w:rsidP="008C366C">
      <w:pPr>
        <w:pStyle w:val="Heading2"/>
      </w:pPr>
      <w:bookmarkStart w:id="16" w:name="_Toc400720070"/>
      <w:r>
        <w:t>Structure of the report</w:t>
      </w:r>
      <w:bookmarkEnd w:id="16"/>
    </w:p>
    <w:p w14:paraId="1B3DA0C8" w14:textId="48E700CA" w:rsidR="00C475E9" w:rsidRDefault="00C00AB1" w:rsidP="00F25067">
      <w:pPr>
        <w:pStyle w:val="BodyText"/>
        <w:spacing w:after="120"/>
      </w:pPr>
      <w:r>
        <w:t>This report is structured as follows:</w:t>
      </w:r>
    </w:p>
    <w:tbl>
      <w:tblPr>
        <w:tblStyle w:val="TableGrid"/>
        <w:tblW w:w="9072" w:type="dxa"/>
        <w:tblBorders>
          <w:bottom w:val="single" w:sz="4" w:space="0" w:color="auto"/>
        </w:tblBorders>
        <w:tblLook w:val="04A0" w:firstRow="1" w:lastRow="0" w:firstColumn="1" w:lastColumn="0" w:noHBand="0" w:noVBand="1"/>
        <w:tblCaption w:val="Report structure"/>
        <w:tblDescription w:val="Report structure"/>
      </w:tblPr>
      <w:tblGrid>
        <w:gridCol w:w="1526"/>
        <w:gridCol w:w="7546"/>
      </w:tblGrid>
      <w:tr w:rsidR="001A03B0" w:rsidRPr="0041025C" w14:paraId="59887A84" w14:textId="77777777" w:rsidTr="00151EBE">
        <w:trPr>
          <w:trHeight w:val="340"/>
          <w:tblHeader/>
        </w:trPr>
        <w:tc>
          <w:tcPr>
            <w:tcW w:w="1526" w:type="dxa"/>
          </w:tcPr>
          <w:p w14:paraId="4CE1DC7B" w14:textId="1E059208" w:rsidR="001A03B0" w:rsidRPr="007D21D4" w:rsidRDefault="001A03B0" w:rsidP="007D21D4">
            <w:pPr>
              <w:pStyle w:val="TableHeader"/>
              <w:jc w:val="center"/>
            </w:pPr>
            <w:r w:rsidRPr="007D21D4">
              <w:t>Section</w:t>
            </w:r>
          </w:p>
        </w:tc>
        <w:tc>
          <w:tcPr>
            <w:tcW w:w="7546" w:type="dxa"/>
          </w:tcPr>
          <w:p w14:paraId="0FD42B29" w14:textId="09095946" w:rsidR="001A03B0" w:rsidRPr="007D21D4" w:rsidRDefault="001A03B0" w:rsidP="007D21D4">
            <w:pPr>
              <w:pStyle w:val="TableHeader"/>
            </w:pPr>
            <w:r w:rsidRPr="007D21D4">
              <w:t>Description</w:t>
            </w:r>
          </w:p>
        </w:tc>
      </w:tr>
      <w:tr w:rsidR="001A03B0" w:rsidRPr="00F06DBB" w14:paraId="14EBF0FA" w14:textId="77777777" w:rsidTr="001A03B0">
        <w:trPr>
          <w:trHeight w:val="340"/>
        </w:trPr>
        <w:tc>
          <w:tcPr>
            <w:tcW w:w="1526" w:type="dxa"/>
          </w:tcPr>
          <w:p w14:paraId="63D103C0" w14:textId="446C0E2B" w:rsidR="001A03B0" w:rsidRPr="00F06DBB" w:rsidRDefault="001A03B0" w:rsidP="001A03B0">
            <w:pPr>
              <w:pStyle w:val="TableBody"/>
              <w:jc w:val="center"/>
            </w:pPr>
            <w:r>
              <w:t>1</w:t>
            </w:r>
          </w:p>
        </w:tc>
        <w:tc>
          <w:tcPr>
            <w:tcW w:w="7546" w:type="dxa"/>
          </w:tcPr>
          <w:p w14:paraId="6489C8DF" w14:textId="2B5411B1" w:rsidR="001A03B0" w:rsidRPr="00F06DBB" w:rsidRDefault="00C00AB1" w:rsidP="001A03B0">
            <w:pPr>
              <w:pStyle w:val="TableBody"/>
            </w:pPr>
            <w:r w:rsidRPr="00C00AB1">
              <w:t>Outlines the background and purpos</w:t>
            </w:r>
            <w:r w:rsidR="00944575">
              <w:t>e of the environmental survey.</w:t>
            </w:r>
          </w:p>
        </w:tc>
      </w:tr>
      <w:tr w:rsidR="001A03B0" w:rsidRPr="00F06DBB" w14:paraId="34E66703" w14:textId="77777777" w:rsidTr="001A03B0">
        <w:trPr>
          <w:trHeight w:val="340"/>
        </w:trPr>
        <w:tc>
          <w:tcPr>
            <w:tcW w:w="1526" w:type="dxa"/>
          </w:tcPr>
          <w:p w14:paraId="3A8851C1" w14:textId="006852A1" w:rsidR="001A03B0" w:rsidRDefault="001A03B0" w:rsidP="001A03B0">
            <w:pPr>
              <w:pStyle w:val="TableBody"/>
              <w:jc w:val="center"/>
            </w:pPr>
            <w:r>
              <w:t>2</w:t>
            </w:r>
          </w:p>
        </w:tc>
        <w:tc>
          <w:tcPr>
            <w:tcW w:w="7546" w:type="dxa"/>
          </w:tcPr>
          <w:p w14:paraId="1AB53607" w14:textId="78BE1624" w:rsidR="001A03B0" w:rsidRPr="00F06DBB" w:rsidRDefault="00C00AB1" w:rsidP="00C00AB1">
            <w:pPr>
              <w:pStyle w:val="TableBody"/>
            </w:pPr>
            <w:r>
              <w:t>Summarises</w:t>
            </w:r>
            <w:r w:rsidRPr="00C00AB1">
              <w:t xml:space="preserve"> the results of the biodiversity investigations</w:t>
            </w:r>
            <w:r w:rsidR="00944575">
              <w:t>, identifies information gaps</w:t>
            </w:r>
            <w:r w:rsidRPr="00C00AB1">
              <w:t xml:space="preserve"> and makes recommendations for future investigat</w:t>
            </w:r>
            <w:r>
              <w:t>ions.</w:t>
            </w:r>
          </w:p>
        </w:tc>
      </w:tr>
      <w:tr w:rsidR="00320D29" w:rsidRPr="00F06DBB" w14:paraId="4F7C82C7" w14:textId="77777777" w:rsidTr="001A03B0">
        <w:trPr>
          <w:trHeight w:val="340"/>
        </w:trPr>
        <w:tc>
          <w:tcPr>
            <w:tcW w:w="1526" w:type="dxa"/>
          </w:tcPr>
          <w:p w14:paraId="33975925" w14:textId="681871ED" w:rsidR="00320D29" w:rsidRDefault="00320D29" w:rsidP="001A03B0">
            <w:pPr>
              <w:pStyle w:val="TableBody"/>
              <w:jc w:val="center"/>
            </w:pPr>
            <w:r>
              <w:t>3</w:t>
            </w:r>
          </w:p>
        </w:tc>
        <w:tc>
          <w:tcPr>
            <w:tcW w:w="7546" w:type="dxa"/>
          </w:tcPr>
          <w:p w14:paraId="5043AE24" w14:textId="4787D2D8" w:rsidR="00320D29" w:rsidRPr="00F06DBB" w:rsidRDefault="00320D29" w:rsidP="001A03B0">
            <w:pPr>
              <w:pStyle w:val="TableBody"/>
            </w:pPr>
            <w:r>
              <w:t>Summarises</w:t>
            </w:r>
            <w:r w:rsidRPr="00C00AB1">
              <w:t xml:space="preserve"> the results of the </w:t>
            </w:r>
            <w:r>
              <w:t>historic heritage</w:t>
            </w:r>
            <w:r w:rsidRPr="00C00AB1">
              <w:t xml:space="preserve"> investigations</w:t>
            </w:r>
            <w:r w:rsidR="00944575">
              <w:t>, identifies information gaps</w:t>
            </w:r>
            <w:r w:rsidRPr="00C00AB1">
              <w:t xml:space="preserve"> and makes recommendations for future investigat</w:t>
            </w:r>
            <w:r>
              <w:t>ions.</w:t>
            </w:r>
          </w:p>
        </w:tc>
      </w:tr>
      <w:tr w:rsidR="00320D29" w:rsidRPr="00F06DBB" w14:paraId="4E112041" w14:textId="77777777" w:rsidTr="001A03B0">
        <w:trPr>
          <w:trHeight w:val="340"/>
        </w:trPr>
        <w:tc>
          <w:tcPr>
            <w:tcW w:w="1526" w:type="dxa"/>
          </w:tcPr>
          <w:p w14:paraId="62CA11B3" w14:textId="0CD788D6" w:rsidR="00320D29" w:rsidRDefault="00320D29" w:rsidP="001A03B0">
            <w:pPr>
              <w:pStyle w:val="TableBody"/>
              <w:jc w:val="center"/>
            </w:pPr>
            <w:r>
              <w:t>4</w:t>
            </w:r>
          </w:p>
        </w:tc>
        <w:tc>
          <w:tcPr>
            <w:tcW w:w="7546" w:type="dxa"/>
          </w:tcPr>
          <w:p w14:paraId="7D15F2D0" w14:textId="40B08C93" w:rsidR="00320D29" w:rsidRPr="00F06DBB" w:rsidRDefault="00320D29" w:rsidP="00C00AB1">
            <w:pPr>
              <w:pStyle w:val="TableBody"/>
            </w:pPr>
            <w:r>
              <w:t>Summarises</w:t>
            </w:r>
            <w:r w:rsidRPr="00C00AB1">
              <w:t xml:space="preserve"> the results of the </w:t>
            </w:r>
            <w:r>
              <w:t>Aboriginal heritage</w:t>
            </w:r>
            <w:r w:rsidRPr="00C00AB1">
              <w:t xml:space="preserve"> investigations</w:t>
            </w:r>
            <w:r w:rsidR="00944575">
              <w:t>, identifies information gaps</w:t>
            </w:r>
            <w:r w:rsidRPr="00C00AB1">
              <w:t xml:space="preserve"> and makes recommendations for future investigat</w:t>
            </w:r>
            <w:r>
              <w:t>ions.</w:t>
            </w:r>
          </w:p>
        </w:tc>
      </w:tr>
      <w:tr w:rsidR="00320D29" w:rsidRPr="00F06DBB" w14:paraId="6060F206" w14:textId="77777777" w:rsidTr="001A03B0">
        <w:trPr>
          <w:trHeight w:val="340"/>
        </w:trPr>
        <w:tc>
          <w:tcPr>
            <w:tcW w:w="1526" w:type="dxa"/>
          </w:tcPr>
          <w:p w14:paraId="12120EB6" w14:textId="69AED330" w:rsidR="00320D29" w:rsidRDefault="00320D29" w:rsidP="001A03B0">
            <w:pPr>
              <w:pStyle w:val="TableBody"/>
              <w:jc w:val="center"/>
            </w:pPr>
            <w:r>
              <w:t>5</w:t>
            </w:r>
          </w:p>
        </w:tc>
        <w:tc>
          <w:tcPr>
            <w:tcW w:w="7546" w:type="dxa"/>
          </w:tcPr>
          <w:p w14:paraId="59CB1E94" w14:textId="500DB0A7" w:rsidR="00320D29" w:rsidRPr="00F06DBB" w:rsidRDefault="00320D29" w:rsidP="00320D29">
            <w:pPr>
              <w:pStyle w:val="TableBody"/>
            </w:pPr>
            <w:r>
              <w:t>Summarises</w:t>
            </w:r>
            <w:r w:rsidRPr="00C00AB1">
              <w:t xml:space="preserve"> the results of the </w:t>
            </w:r>
            <w:r>
              <w:t>hydrology and water quality</w:t>
            </w:r>
            <w:r w:rsidRPr="00C00AB1">
              <w:t xml:space="preserve"> investigations</w:t>
            </w:r>
            <w:r w:rsidR="00944575">
              <w:t>, identifies information gaps</w:t>
            </w:r>
            <w:r w:rsidRPr="00C00AB1">
              <w:t xml:space="preserve"> and makes recommendations for future investigat</w:t>
            </w:r>
            <w:r>
              <w:t>ions.</w:t>
            </w:r>
          </w:p>
        </w:tc>
      </w:tr>
      <w:tr w:rsidR="00944575" w:rsidRPr="00F06DBB" w14:paraId="6C15C71E" w14:textId="77777777" w:rsidTr="001A03B0">
        <w:trPr>
          <w:trHeight w:val="340"/>
        </w:trPr>
        <w:tc>
          <w:tcPr>
            <w:tcW w:w="1526" w:type="dxa"/>
          </w:tcPr>
          <w:p w14:paraId="5A4FBBBF" w14:textId="1A84C95B" w:rsidR="00944575" w:rsidRDefault="00944575" w:rsidP="001A03B0">
            <w:pPr>
              <w:pStyle w:val="TableBody"/>
              <w:jc w:val="center"/>
            </w:pPr>
            <w:r>
              <w:t>6</w:t>
            </w:r>
          </w:p>
        </w:tc>
        <w:tc>
          <w:tcPr>
            <w:tcW w:w="7546" w:type="dxa"/>
          </w:tcPr>
          <w:p w14:paraId="3FE26A53" w14:textId="4B6DE782" w:rsidR="00944575" w:rsidRDefault="00944575" w:rsidP="00222BA8">
            <w:pPr>
              <w:pStyle w:val="TableBody"/>
            </w:pPr>
            <w:r>
              <w:t>Provides comment on other environmental aspects considered of relevance to management of the Commonwealth land at Badgerys Creek.</w:t>
            </w:r>
          </w:p>
        </w:tc>
      </w:tr>
      <w:tr w:rsidR="00320D29" w:rsidRPr="00F06DBB" w14:paraId="52F3A547" w14:textId="77777777" w:rsidTr="001A03B0">
        <w:trPr>
          <w:trHeight w:val="340"/>
        </w:trPr>
        <w:tc>
          <w:tcPr>
            <w:tcW w:w="1526" w:type="dxa"/>
          </w:tcPr>
          <w:p w14:paraId="4F0A7398" w14:textId="2DF52A41" w:rsidR="00320D29" w:rsidRDefault="00944575" w:rsidP="001A03B0">
            <w:pPr>
              <w:pStyle w:val="TableBody"/>
              <w:jc w:val="center"/>
            </w:pPr>
            <w:r>
              <w:t>7</w:t>
            </w:r>
          </w:p>
        </w:tc>
        <w:tc>
          <w:tcPr>
            <w:tcW w:w="7546" w:type="dxa"/>
          </w:tcPr>
          <w:p w14:paraId="5F016103" w14:textId="27649710" w:rsidR="00320D29" w:rsidRPr="00F06DBB" w:rsidRDefault="00320D29" w:rsidP="001A03B0">
            <w:pPr>
              <w:pStyle w:val="TableBody"/>
            </w:pPr>
            <w:r w:rsidRPr="00320D29">
              <w:t>Provides a synopsis of the results of the survey and consolidates the recommendations made with regard to individual environmental aspects</w:t>
            </w:r>
            <w:r>
              <w:t>.</w:t>
            </w:r>
          </w:p>
        </w:tc>
      </w:tr>
      <w:tr w:rsidR="00320D29" w:rsidRPr="00F06DBB" w14:paraId="0BD0C4E7" w14:textId="77777777" w:rsidTr="00E82C51">
        <w:trPr>
          <w:trHeight w:val="340"/>
        </w:trPr>
        <w:tc>
          <w:tcPr>
            <w:tcW w:w="1526" w:type="dxa"/>
          </w:tcPr>
          <w:p w14:paraId="2B781086" w14:textId="3551AA70" w:rsidR="00320D29" w:rsidRDefault="00944575" w:rsidP="00E82C51">
            <w:pPr>
              <w:pStyle w:val="TableBody"/>
              <w:jc w:val="center"/>
            </w:pPr>
            <w:r>
              <w:t>8</w:t>
            </w:r>
          </w:p>
        </w:tc>
        <w:tc>
          <w:tcPr>
            <w:tcW w:w="7546" w:type="dxa"/>
          </w:tcPr>
          <w:p w14:paraId="381EAC9D" w14:textId="508E0914" w:rsidR="00320D29" w:rsidRDefault="00320D29" w:rsidP="00E82C51">
            <w:pPr>
              <w:pStyle w:val="TableBody"/>
            </w:pPr>
            <w:r>
              <w:t>List of reference documents and other information sources consulted in preparation of the report.</w:t>
            </w:r>
          </w:p>
        </w:tc>
      </w:tr>
    </w:tbl>
    <w:p w14:paraId="23F72705" w14:textId="77777777" w:rsidR="009A4768" w:rsidRDefault="009A4768" w:rsidP="00BE3216">
      <w:pPr>
        <w:pStyle w:val="BodyText"/>
      </w:pPr>
    </w:p>
    <w:p w14:paraId="0F29D8AF" w14:textId="77777777" w:rsidR="007A0226" w:rsidRDefault="007A0226" w:rsidP="003B00DE">
      <w:pPr>
        <w:pStyle w:val="Heading1"/>
        <w:sectPr w:rsidR="007A0226" w:rsidSect="007A0226">
          <w:type w:val="continuous"/>
          <w:pgSz w:w="11900" w:h="16840"/>
          <w:pgMar w:top="1418" w:right="1418" w:bottom="1418" w:left="1418" w:header="709" w:footer="709" w:gutter="0"/>
          <w:pgNumType w:start="1"/>
          <w:cols w:space="708"/>
          <w:docGrid w:linePitch="360"/>
        </w:sectPr>
      </w:pPr>
      <w:bookmarkStart w:id="17" w:name="_Toc400720071"/>
    </w:p>
    <w:p w14:paraId="15EB5F3C" w14:textId="39C9D62A" w:rsidR="00BE3216" w:rsidRDefault="003B00DE" w:rsidP="003B00DE">
      <w:pPr>
        <w:pStyle w:val="Heading1"/>
      </w:pPr>
      <w:r>
        <w:t>Biodiversity</w:t>
      </w:r>
      <w:bookmarkEnd w:id="17"/>
    </w:p>
    <w:p w14:paraId="0684A847" w14:textId="77777777" w:rsidR="005720AC" w:rsidRDefault="005720AC" w:rsidP="005720AC">
      <w:pPr>
        <w:pStyle w:val="Heading2"/>
      </w:pPr>
      <w:bookmarkStart w:id="18" w:name="_Toc400720072"/>
      <w:r>
        <w:t>Previous investigations</w:t>
      </w:r>
      <w:bookmarkEnd w:id="18"/>
    </w:p>
    <w:p w14:paraId="38FAF133" w14:textId="77777777" w:rsidR="00F479D7" w:rsidRDefault="00F479D7" w:rsidP="00F479D7">
      <w:pPr>
        <w:pStyle w:val="Heading3"/>
      </w:pPr>
      <w:r>
        <w:t>1997 Draft EIS</w:t>
      </w:r>
    </w:p>
    <w:p w14:paraId="0E03FEDB" w14:textId="5DECEC94" w:rsidR="00F479D7" w:rsidRDefault="00F479D7" w:rsidP="00F479D7">
      <w:pPr>
        <w:pStyle w:val="BodyText"/>
      </w:pPr>
      <w:r>
        <w:t xml:space="preserve">Chapter </w:t>
      </w:r>
      <w:r w:rsidR="00BA4552">
        <w:t>17</w:t>
      </w:r>
      <w:r>
        <w:t xml:space="preserve"> of the Draft EIS addressed the </w:t>
      </w:r>
      <w:r w:rsidR="00033AC0">
        <w:t>flora and fauna</w:t>
      </w:r>
      <w:r>
        <w:t xml:space="preserve"> impacts of the </w:t>
      </w:r>
      <w:r w:rsidR="00AF0095">
        <w:t xml:space="preserve">then </w:t>
      </w:r>
      <w:r>
        <w:t xml:space="preserve">proposed Second Sydney Airport. Discussion was based on a separate specialist investigation documented in </w:t>
      </w:r>
      <w:r w:rsidRPr="005D7179">
        <w:rPr>
          <w:i/>
        </w:rPr>
        <w:t xml:space="preserve">Technical Paper </w:t>
      </w:r>
      <w:r>
        <w:rPr>
          <w:i/>
        </w:rPr>
        <w:t>8</w:t>
      </w:r>
      <w:r w:rsidRPr="005D7179">
        <w:rPr>
          <w:i/>
        </w:rPr>
        <w:t xml:space="preserve">: </w:t>
      </w:r>
      <w:r>
        <w:rPr>
          <w:i/>
        </w:rPr>
        <w:t>Flora and Fauna</w:t>
      </w:r>
      <w:r>
        <w:t xml:space="preserve"> (</w:t>
      </w:r>
      <w:proofErr w:type="spellStart"/>
      <w:r>
        <w:t>Biosis</w:t>
      </w:r>
      <w:proofErr w:type="spellEnd"/>
      <w:r>
        <w:t xml:space="preserve"> Research 1997).</w:t>
      </w:r>
    </w:p>
    <w:p w14:paraId="2A386291" w14:textId="3590F0D7" w:rsidR="005720AC" w:rsidRDefault="00C1442E" w:rsidP="005720AC">
      <w:pPr>
        <w:pStyle w:val="BodyText"/>
      </w:pPr>
      <w:r>
        <w:t xml:space="preserve">Assessment of impacts on flora and fauna drew on </w:t>
      </w:r>
      <w:r w:rsidR="009977C9">
        <w:t>a number of other specialist investigations: water quality, bushfire risk, bird and bat strike assessments, and noise assessments. Assessment was limited to the airport options and immediate surrounds; proposed access corridors outside the airport sites were not investigated.</w:t>
      </w:r>
    </w:p>
    <w:p w14:paraId="542F0626" w14:textId="0B300A30" w:rsidR="00F479D7" w:rsidRDefault="009977C9" w:rsidP="005720AC">
      <w:pPr>
        <w:pStyle w:val="BodyText"/>
      </w:pPr>
      <w:r>
        <w:t>Assessment of impacts on flora and fauna of national significance was based upon listings in Schedules 1 and 2 to the</w:t>
      </w:r>
      <w:r w:rsidR="003F4061" w:rsidRPr="003F4061">
        <w:t xml:space="preserve"> </w:t>
      </w:r>
      <w:r w:rsidR="003F4061">
        <w:t>Commonwealth</w:t>
      </w:r>
      <w:r>
        <w:t xml:space="preserve"> </w:t>
      </w:r>
      <w:r w:rsidRPr="009977C9">
        <w:rPr>
          <w:i/>
        </w:rPr>
        <w:t>Endangered Species Protection Act 1992</w:t>
      </w:r>
      <w:r>
        <w:t>.</w:t>
      </w:r>
      <w:r w:rsidR="003F4061">
        <w:t xml:space="preserve"> Assessment of impacts on State-listed flora and fauna made reference to Schedules 1 and 2 to the NSW TSC Act. Consideration of impacts on flora included reference to the Rare or Threatened Australia Plants (ROTAP) list. Reference was also made to bird species listed under the </w:t>
      </w:r>
      <w:r w:rsidR="003F4061" w:rsidRPr="003F4061">
        <w:rPr>
          <w:i/>
        </w:rPr>
        <w:t>Japan-Australia Migratory Birds Agreement</w:t>
      </w:r>
      <w:r w:rsidR="003F4061">
        <w:t xml:space="preserve"> (JAMBA) and the </w:t>
      </w:r>
      <w:r w:rsidR="003F4061" w:rsidRPr="003F4061">
        <w:rPr>
          <w:i/>
        </w:rPr>
        <w:t>China-Australia Migratory Birds Agreement</w:t>
      </w:r>
      <w:r w:rsidR="003F4061">
        <w:t xml:space="preserve"> (CAMBA).</w:t>
      </w:r>
    </w:p>
    <w:p w14:paraId="35FA635A" w14:textId="1CF6A622" w:rsidR="00373591" w:rsidRDefault="008E5149" w:rsidP="005720AC">
      <w:pPr>
        <w:pStyle w:val="BodyText"/>
      </w:pPr>
      <w:r>
        <w:t>The Draft EIS included a range of management measures to mitigate and manage impacts during construction an</w:t>
      </w:r>
      <w:r w:rsidR="00944575">
        <w:t>d</w:t>
      </w:r>
      <w:r>
        <w:t xml:space="preserve"> operation. This included preparation of a monitoring strategy as part of an environmental management plan for the airport.</w:t>
      </w:r>
    </w:p>
    <w:p w14:paraId="4164600A" w14:textId="252EA092" w:rsidR="00B9760A" w:rsidRDefault="00B9760A" w:rsidP="005613AC">
      <w:pPr>
        <w:pStyle w:val="Subheading"/>
      </w:pPr>
      <w:r>
        <w:t>Auditor’s Report</w:t>
      </w:r>
    </w:p>
    <w:p w14:paraId="19FF0485" w14:textId="77777777" w:rsidR="00BA4552" w:rsidRDefault="00F479D7" w:rsidP="00BA4552">
      <w:pPr>
        <w:pStyle w:val="BodyText"/>
      </w:pPr>
      <w:r>
        <w:t xml:space="preserve">The Auditor’s Report on the Draft EIS (SMEC 1998) </w:t>
      </w:r>
      <w:r w:rsidR="00BA4552">
        <w:t>identified three main areas where it was considered a more extensive assessment or clearer statement of potential impacts could have been provided:</w:t>
      </w:r>
    </w:p>
    <w:p w14:paraId="675D2B5F" w14:textId="555220B6" w:rsidR="00BA4552" w:rsidRDefault="00BA4552" w:rsidP="00AF0095">
      <w:pPr>
        <w:pStyle w:val="ListBullet"/>
      </w:pPr>
      <w:r>
        <w:t>The Draft EIS lacked a clear assessment of the impacts of construction on Cumberland Plain Woodland, a listed endangered ecologi</w:t>
      </w:r>
      <w:r w:rsidR="00944575">
        <w:t>cal community under the TSC Act</w:t>
      </w:r>
      <w:r w:rsidR="00183087">
        <w:t>.</w:t>
      </w:r>
    </w:p>
    <w:p w14:paraId="14EF3EA1" w14:textId="4ABDB671" w:rsidR="00944575" w:rsidRDefault="00373591" w:rsidP="00AF0095">
      <w:pPr>
        <w:pStyle w:val="ListBullet"/>
      </w:pPr>
      <w:r>
        <w:t>The assessment of impacts on terrestrial and aquatic environments was not consistent; in particular, the categories used to define spatial and temporal scales of impacts on aquatic habitats were not applied</w:t>
      </w:r>
      <w:r w:rsidR="00944575">
        <w:t xml:space="preserve"> to the terrestrial environment</w:t>
      </w:r>
      <w:r w:rsidR="00183087">
        <w:t>.</w:t>
      </w:r>
    </w:p>
    <w:p w14:paraId="377ED08B" w14:textId="1F399E4E" w:rsidR="00373591" w:rsidRDefault="00373591" w:rsidP="00AF0095">
      <w:pPr>
        <w:pStyle w:val="ListBullet"/>
      </w:pPr>
      <w:r>
        <w:t>The treatment of cumulative impacts, particularly the cumulative impact of construction of the airport and associated infrastructure, was cursory and qualitative.</w:t>
      </w:r>
    </w:p>
    <w:p w14:paraId="7D75EE3F" w14:textId="29D134CE" w:rsidR="00F479D7" w:rsidRDefault="00373591" w:rsidP="00F479D7">
      <w:pPr>
        <w:pStyle w:val="BodyText"/>
      </w:pPr>
      <w:r>
        <w:t>The report also noted a number of other general weaknesses of the Draft EIS.</w:t>
      </w:r>
    </w:p>
    <w:p w14:paraId="427E57AB" w14:textId="77777777" w:rsidR="00BA4552" w:rsidRDefault="00BA4552" w:rsidP="00BA4552">
      <w:pPr>
        <w:pStyle w:val="Heading3"/>
      </w:pPr>
      <w:r>
        <w:t>1999 Supplement to the Draft EIS</w:t>
      </w:r>
    </w:p>
    <w:p w14:paraId="4032B3B7" w14:textId="653CD4E9" w:rsidR="00E67341" w:rsidRDefault="00E67341" w:rsidP="00E67341">
      <w:pPr>
        <w:pStyle w:val="BodyText"/>
      </w:pPr>
      <w:r>
        <w:t>Chapter 14 of the Supplement to the Draft EIS summarised the findings of the Draft EIS and issues raised in submissions.</w:t>
      </w:r>
    </w:p>
    <w:p w14:paraId="74255A6E" w14:textId="3453B60C" w:rsidR="00E67341" w:rsidRDefault="00E67341" w:rsidP="00E67341">
      <w:pPr>
        <w:pStyle w:val="BodyText"/>
      </w:pPr>
      <w:r>
        <w:t xml:space="preserve">Additional flora and fauna studies were undertaken targeting threatened species and endangered ecological communities that were considered inadequate in the Draft EIS. </w:t>
      </w:r>
      <w:r w:rsidR="00C1240B">
        <w:t>The chapter</w:t>
      </w:r>
      <w:r>
        <w:t xml:space="preserve"> also provided a reassessment of the ecological significance of flora and fauna based on the additional field survey results, amendments to the </w:t>
      </w:r>
      <w:r w:rsidR="00C1240B">
        <w:t>TSC</w:t>
      </w:r>
      <w:r>
        <w:t xml:space="preserve"> Act and the </w:t>
      </w:r>
      <w:r w:rsidR="00C53176">
        <w:t>Western Sydney u</w:t>
      </w:r>
      <w:r w:rsidRPr="00C1240B">
        <w:t>r</w:t>
      </w:r>
      <w:r w:rsidR="00C1240B" w:rsidRPr="00C1240B">
        <w:t xml:space="preserve">ban </w:t>
      </w:r>
      <w:r w:rsidR="00C53176">
        <w:t>b</w:t>
      </w:r>
      <w:r w:rsidR="00C1240B" w:rsidRPr="00C1240B">
        <w:t xml:space="preserve">ushland </w:t>
      </w:r>
      <w:r w:rsidR="00C53176">
        <w:t>biodiversity s</w:t>
      </w:r>
      <w:r w:rsidR="00C1240B" w:rsidRPr="00C1240B">
        <w:t>urvey</w:t>
      </w:r>
      <w:r w:rsidR="00C53176">
        <w:t xml:space="preserve"> (</w:t>
      </w:r>
      <w:r w:rsidR="006C0A3E">
        <w:t xml:space="preserve">National Parks and Wildlife </w:t>
      </w:r>
      <w:r w:rsidR="006C0A3E" w:rsidRPr="006C0A3E">
        <w:t xml:space="preserve">Service </w:t>
      </w:r>
      <w:r w:rsidR="00C53176">
        <w:t>1997)</w:t>
      </w:r>
      <w:r>
        <w:t>, the results of which were not available at the time o</w:t>
      </w:r>
      <w:r w:rsidR="00C1240B">
        <w:t>f the release of the Draft EIS.</w:t>
      </w:r>
    </w:p>
    <w:p w14:paraId="580B1DD4" w14:textId="6FA8E0E3" w:rsidR="00E67341" w:rsidRDefault="00E67341" w:rsidP="00E67341">
      <w:pPr>
        <w:pStyle w:val="BodyText"/>
      </w:pPr>
      <w:r>
        <w:t xml:space="preserve">The additional targeted flora survey for </w:t>
      </w:r>
      <w:proofErr w:type="spellStart"/>
      <w:r w:rsidRPr="00E67341">
        <w:rPr>
          <w:i/>
        </w:rPr>
        <w:t>Pultenaea</w:t>
      </w:r>
      <w:proofErr w:type="spellEnd"/>
      <w:r w:rsidRPr="00E67341">
        <w:rPr>
          <w:i/>
        </w:rPr>
        <w:t xml:space="preserve"> </w:t>
      </w:r>
      <w:proofErr w:type="spellStart"/>
      <w:r w:rsidRPr="00E67341">
        <w:rPr>
          <w:i/>
        </w:rPr>
        <w:t>parviflora</w:t>
      </w:r>
      <w:proofErr w:type="spellEnd"/>
      <w:r>
        <w:t>, a species of national significance identified a population of 68 plants. No additional threatened flora species were observed during the target</w:t>
      </w:r>
      <w:r w:rsidR="00AF0095">
        <w:t>ed</w:t>
      </w:r>
      <w:r>
        <w:t xml:space="preserve"> survey. Approximately 90 Cumberland Plain Land Snails were recorded in remnants of Cumberland Plain Woodland during targeted fauna surveys, representing one of the largest known </w:t>
      </w:r>
      <w:r w:rsidR="00C1240B">
        <w:t>populations at the time.</w:t>
      </w:r>
    </w:p>
    <w:p w14:paraId="3D842F33" w14:textId="3CC861F8" w:rsidR="00E67341" w:rsidRDefault="00E67341" w:rsidP="00E67341">
      <w:pPr>
        <w:pStyle w:val="BodyText"/>
      </w:pPr>
      <w:r>
        <w:t>The Supplement to the Draft EIS provided additional information on the size and locatio</w:t>
      </w:r>
      <w:r w:rsidR="00C1240B">
        <w:t>ns of remnant Cumberland Plain W</w:t>
      </w:r>
      <w:r>
        <w:t>oodland and River-Flat Forest communities within the airport options sites. The</w:t>
      </w:r>
      <w:r w:rsidR="00C1240B">
        <w:t>se</w:t>
      </w:r>
      <w:r>
        <w:t xml:space="preserve"> sites were</w:t>
      </w:r>
      <w:r w:rsidR="00C1240B">
        <w:t xml:space="preserve"> subsequently</w:t>
      </w:r>
      <w:r>
        <w:t xml:space="preserve"> elevated from regional to State significance, primarily as a result of the identification of the Cumberland Plain Land Snail populations.</w:t>
      </w:r>
    </w:p>
    <w:p w14:paraId="6B33C7C2" w14:textId="77777777" w:rsidR="00B9760A" w:rsidRDefault="00B9760A" w:rsidP="005613AC">
      <w:pPr>
        <w:pStyle w:val="Subheading"/>
      </w:pPr>
      <w:r>
        <w:t>Auditor’s Report</w:t>
      </w:r>
    </w:p>
    <w:p w14:paraId="1313818F" w14:textId="77777777" w:rsidR="00E67341" w:rsidRDefault="00E67341" w:rsidP="00E67341">
      <w:pPr>
        <w:pStyle w:val="BodyText"/>
      </w:pPr>
      <w:r>
        <w:t xml:space="preserve">The Auditor’s Report on the Supplement to the Draft EIS (SMEC 1999) noted that additional surveys and assessments were undertaken for the Supplement that addressed comments </w:t>
      </w:r>
      <w:proofErr w:type="gramStart"/>
      <w:r>
        <w:t>raised</w:t>
      </w:r>
      <w:proofErr w:type="gramEnd"/>
      <w:r>
        <w:t xml:space="preserve"> in the first audit report and in public submissions. A summary of the key findings of the additional investigations was also provided. Despite the Auditor stating that the concerns regarding the Draft EIS had been addressed, it was noted that the following uncertainties remained:</w:t>
      </w:r>
    </w:p>
    <w:p w14:paraId="6E5E101B" w14:textId="6B0CDC19" w:rsidR="00E67341" w:rsidRDefault="00E67341" w:rsidP="00AF0095">
      <w:pPr>
        <w:pStyle w:val="ListBullet"/>
      </w:pPr>
      <w:r>
        <w:t>6.2 hectares of the site, including small remnants of Cumberland Plain Woodland, were yet to be surveyed due to access restrictions during the additional surveys</w:t>
      </w:r>
      <w:r w:rsidR="00183087">
        <w:t>.</w:t>
      </w:r>
    </w:p>
    <w:p w14:paraId="299CCEC0" w14:textId="67649D1F" w:rsidR="00E67341" w:rsidRDefault="00C1240B" w:rsidP="00AF0095">
      <w:pPr>
        <w:pStyle w:val="ListBullet"/>
      </w:pPr>
      <w:r>
        <w:t>R</w:t>
      </w:r>
      <w:r w:rsidR="00E67341">
        <w:t>elocation techniques for the Cumberland Plain Land Snail were untested and the survival of the population would be heavily dependent on these techniques</w:t>
      </w:r>
      <w:r w:rsidR="00183087">
        <w:t>.</w:t>
      </w:r>
    </w:p>
    <w:p w14:paraId="0A63CA0E" w14:textId="192185E8" w:rsidR="00BA4552" w:rsidRDefault="00C1240B" w:rsidP="00AF0095">
      <w:pPr>
        <w:pStyle w:val="ListBullet"/>
      </w:pPr>
      <w:r>
        <w:t>T</w:t>
      </w:r>
      <w:r w:rsidR="00E67341">
        <w:t>he effect of aircraft noise on animal populations in the Blue Mountains National Park, and elsewhere, is uncertain.</w:t>
      </w:r>
    </w:p>
    <w:p w14:paraId="7B8F79D5" w14:textId="457D669F" w:rsidR="00D052DE" w:rsidRDefault="00D052DE" w:rsidP="00D052DE">
      <w:pPr>
        <w:pStyle w:val="Heading3"/>
      </w:pPr>
      <w:r>
        <w:t xml:space="preserve">1999 Environment Australia </w:t>
      </w:r>
      <w:r w:rsidR="00E82C51">
        <w:t>A</w:t>
      </w:r>
      <w:r>
        <w:t xml:space="preserve">ssessment </w:t>
      </w:r>
      <w:r w:rsidR="00E82C51">
        <w:t>R</w:t>
      </w:r>
      <w:r>
        <w:t>eport</w:t>
      </w:r>
    </w:p>
    <w:p w14:paraId="049DB154" w14:textId="3560F367" w:rsidR="00E67341" w:rsidRDefault="00E67341" w:rsidP="00E67341">
      <w:pPr>
        <w:pStyle w:val="BodyText"/>
      </w:pPr>
      <w:r>
        <w:t xml:space="preserve">Environment Australia’s report disagreed with the level of significance assessed in the Supplement to the Draft EIS. The </w:t>
      </w:r>
      <w:r w:rsidR="00C1240B">
        <w:t>report</w:t>
      </w:r>
      <w:r>
        <w:t xml:space="preserve"> stated that the airport options sites should have been assessed as being of national conservation significance rather than State significance</w:t>
      </w:r>
      <w:r w:rsidR="00C1240B">
        <w:t xml:space="preserve"> </w:t>
      </w:r>
      <w:r w:rsidR="00EF24F5">
        <w:t>in view of</w:t>
      </w:r>
      <w:r>
        <w:t xml:space="preserve"> Cumberland Plain Woodland and </w:t>
      </w:r>
      <w:proofErr w:type="spellStart"/>
      <w:r w:rsidRPr="00C1240B">
        <w:rPr>
          <w:i/>
        </w:rPr>
        <w:t>Pultenaea</w:t>
      </w:r>
      <w:proofErr w:type="spellEnd"/>
      <w:r w:rsidRPr="00C1240B">
        <w:rPr>
          <w:i/>
        </w:rPr>
        <w:t xml:space="preserve"> </w:t>
      </w:r>
      <w:proofErr w:type="spellStart"/>
      <w:r w:rsidRPr="00C1240B">
        <w:rPr>
          <w:i/>
        </w:rPr>
        <w:t>parviflora</w:t>
      </w:r>
      <w:proofErr w:type="spellEnd"/>
      <w:r>
        <w:t xml:space="preserve"> being listed under the Commonwealth </w:t>
      </w:r>
      <w:r w:rsidRPr="00C1240B">
        <w:rPr>
          <w:i/>
        </w:rPr>
        <w:t>Endangered Species Protection Ac</w:t>
      </w:r>
      <w:r w:rsidR="00C1240B">
        <w:rPr>
          <w:i/>
        </w:rPr>
        <w:t>t</w:t>
      </w:r>
      <w:r w:rsidRPr="00C1240B">
        <w:rPr>
          <w:i/>
        </w:rPr>
        <w:t xml:space="preserve"> 1992</w:t>
      </w:r>
      <w:r>
        <w:t>.</w:t>
      </w:r>
    </w:p>
    <w:p w14:paraId="30A8889B" w14:textId="77777777" w:rsidR="00E67341" w:rsidRDefault="00E67341" w:rsidP="00E67341">
      <w:pPr>
        <w:pStyle w:val="BodyText"/>
      </w:pPr>
      <w:r>
        <w:t>The report made the following recommendations:</w:t>
      </w:r>
    </w:p>
    <w:p w14:paraId="4C8D78C7" w14:textId="63669773" w:rsidR="00E67341" w:rsidRDefault="00E67341" w:rsidP="00AF0095">
      <w:pPr>
        <w:pStyle w:val="ListBullet"/>
      </w:pPr>
      <w:r>
        <w:t>A comprehensive flora and fauna field survey of the airport site and relevant areas adjacent to the site boundary must be completed prior to construction of an airport to compleme</w:t>
      </w:r>
      <w:r w:rsidR="00C1240B">
        <w:t>nt information already gathered</w:t>
      </w:r>
      <w:r w:rsidR="00EF24F5">
        <w:t>.</w:t>
      </w:r>
    </w:p>
    <w:p w14:paraId="6A5F354B" w14:textId="13319768" w:rsidR="00E67341" w:rsidRDefault="00E67341" w:rsidP="00AF0095">
      <w:pPr>
        <w:pStyle w:val="ListBullet"/>
      </w:pPr>
      <w:r>
        <w:t xml:space="preserve">The impacts of an airport on the following species and ecological communities must be kept to a minimum by implementing management, monitoring and reporting measures which include, but are not limited to, those set out in Section 2.7 of Appendix M to the Supplement to the Draft </w:t>
      </w:r>
      <w:r w:rsidR="00874458">
        <w:t>EIS:</w:t>
      </w:r>
    </w:p>
    <w:p w14:paraId="618C77A1" w14:textId="3E2D629E" w:rsidR="00E67341" w:rsidRPr="00AF0095" w:rsidRDefault="00E67341" w:rsidP="00AF0095">
      <w:pPr>
        <w:pStyle w:val="ListBullet2"/>
      </w:pPr>
      <w:proofErr w:type="spellStart"/>
      <w:r w:rsidRPr="00AF0095">
        <w:rPr>
          <w:i/>
        </w:rPr>
        <w:t>Pultenaea</w:t>
      </w:r>
      <w:proofErr w:type="spellEnd"/>
      <w:r w:rsidRPr="00AF0095">
        <w:rPr>
          <w:i/>
        </w:rPr>
        <w:t xml:space="preserve"> </w:t>
      </w:r>
      <w:proofErr w:type="spellStart"/>
      <w:r w:rsidRPr="00AF0095">
        <w:rPr>
          <w:i/>
        </w:rPr>
        <w:t>parviflora</w:t>
      </w:r>
      <w:proofErr w:type="spellEnd"/>
      <w:r w:rsidRPr="00874458">
        <w:t xml:space="preserve"> </w:t>
      </w:r>
      <w:r w:rsidR="00874458">
        <w:t>(shr</w:t>
      </w:r>
      <w:r w:rsidR="00874458" w:rsidRPr="00AF0095">
        <w:t>ub)</w:t>
      </w:r>
    </w:p>
    <w:p w14:paraId="64D63F37" w14:textId="54F0AC5D" w:rsidR="00E67341" w:rsidRPr="00AF0095" w:rsidRDefault="00E67341" w:rsidP="00AF0095">
      <w:pPr>
        <w:pStyle w:val="ListBullet2"/>
      </w:pPr>
      <w:r w:rsidRPr="00AF0095">
        <w:t>the bat population residing i</w:t>
      </w:r>
      <w:r w:rsidR="00874458" w:rsidRPr="00AF0095">
        <w:t>n Badgerys Creek Community Hall</w:t>
      </w:r>
    </w:p>
    <w:p w14:paraId="0A44181F" w14:textId="722ED1F1" w:rsidR="00E67341" w:rsidRPr="00874458" w:rsidRDefault="00E67341" w:rsidP="00AF0095">
      <w:pPr>
        <w:pStyle w:val="ListBullet2"/>
      </w:pPr>
      <w:proofErr w:type="spellStart"/>
      <w:r w:rsidRPr="00AF0095">
        <w:rPr>
          <w:i/>
        </w:rPr>
        <w:t>Meridolum</w:t>
      </w:r>
      <w:proofErr w:type="spellEnd"/>
      <w:r w:rsidRPr="00AF0095">
        <w:rPr>
          <w:i/>
        </w:rPr>
        <w:t xml:space="preserve"> </w:t>
      </w:r>
      <w:proofErr w:type="spellStart"/>
      <w:r w:rsidRPr="00AF0095">
        <w:rPr>
          <w:i/>
        </w:rPr>
        <w:t>corneovirens</w:t>
      </w:r>
      <w:proofErr w:type="spellEnd"/>
      <w:r w:rsidRPr="00AF0095">
        <w:t xml:space="preserve"> (</w:t>
      </w:r>
      <w:r w:rsidRPr="00874458">
        <w:t>Cumberl</w:t>
      </w:r>
      <w:r w:rsidR="00874458">
        <w:t>and Plain Land Snail)</w:t>
      </w:r>
    </w:p>
    <w:p w14:paraId="715E0964" w14:textId="19EC99A3" w:rsidR="00E67341" w:rsidRDefault="00E67341" w:rsidP="00AF0095">
      <w:pPr>
        <w:pStyle w:val="ListBullet2"/>
      </w:pPr>
      <w:r w:rsidRPr="00874458">
        <w:t xml:space="preserve">Cumberland </w:t>
      </w:r>
      <w:r>
        <w:t>Plain Woodland and River-flat Forest</w:t>
      </w:r>
      <w:r w:rsidR="00183087">
        <w:t>.</w:t>
      </w:r>
    </w:p>
    <w:p w14:paraId="3F9B4102" w14:textId="56E7D552" w:rsidR="00E67341" w:rsidRDefault="00E67341" w:rsidP="00AF0095">
      <w:pPr>
        <w:pStyle w:val="ListBullet"/>
      </w:pPr>
      <w:r>
        <w:t>Cumberland Plain Woodland and River-flat Forest communities must, to the greatest extent that is practicable, be reserved, rehabilitated and revegetated. Areas of these communities suitable for reservation should be identified off the airport site to compensate for losses incurred as a result of the proposal. The areas reserved should be substantially greater in total than the areas destroyed. The objective should be to establish, in consultation with N</w:t>
      </w:r>
      <w:r w:rsidR="00F50B64">
        <w:t>SW</w:t>
      </w:r>
      <w:r w:rsidR="00B31634">
        <w:t xml:space="preserve"> </w:t>
      </w:r>
      <w:r>
        <w:t xml:space="preserve">Government authorities, areas of high quality forest that </w:t>
      </w:r>
      <w:r w:rsidR="00AF0095">
        <w:t>are</w:t>
      </w:r>
      <w:r>
        <w:t xml:space="preserve"> viable in the long term. Consideration should be given to:</w:t>
      </w:r>
    </w:p>
    <w:p w14:paraId="4219B0FC" w14:textId="72972760" w:rsidR="00E67341" w:rsidRDefault="00E67341" w:rsidP="00AF0095">
      <w:pPr>
        <w:pStyle w:val="ListBullet2"/>
      </w:pPr>
      <w:r>
        <w:t>developing and reserving these communities in buffer areas around the airport site a</w:t>
      </w:r>
      <w:r w:rsidR="00874458">
        <w:t>nd in noise prone corridors</w:t>
      </w:r>
    </w:p>
    <w:p w14:paraId="6EA7836B" w14:textId="24CEC0DB" w:rsidR="00E67341" w:rsidRDefault="00E67341" w:rsidP="00AF0095">
      <w:pPr>
        <w:pStyle w:val="ListBullet2"/>
      </w:pPr>
      <w:proofErr w:type="gramStart"/>
      <w:r>
        <w:t>preserving</w:t>
      </w:r>
      <w:proofErr w:type="gramEnd"/>
      <w:r>
        <w:t xml:space="preserve"> and rehabilitating bushland corridors, particularly riparian corridors, in order to maintain a network of habitat refuges for native faun</w:t>
      </w:r>
      <w:r w:rsidR="00874458">
        <w:t>a</w:t>
      </w:r>
      <w:r w:rsidR="00183087">
        <w:t>.</w:t>
      </w:r>
    </w:p>
    <w:p w14:paraId="1D570BCF" w14:textId="5D2B30EE" w:rsidR="00D052DE" w:rsidRDefault="00E67341" w:rsidP="00AF0095">
      <w:pPr>
        <w:pStyle w:val="ListBullet"/>
      </w:pPr>
      <w:r>
        <w:t>The potential impacts on the World Heritage values of the Greater Blue Mountains Area must be identified and taken into account in all elements of the planning and operation of an airport at Badgerys Creek. This should be done in collaboration with Environment Australia and with relevant N</w:t>
      </w:r>
      <w:r w:rsidR="00C53176">
        <w:t>SW</w:t>
      </w:r>
      <w:r>
        <w:t xml:space="preserve"> authorities.</w:t>
      </w:r>
    </w:p>
    <w:p w14:paraId="314B26B2" w14:textId="77777777" w:rsidR="00BA4552" w:rsidRDefault="00BA4552" w:rsidP="00BA4552">
      <w:pPr>
        <w:pStyle w:val="Heading3"/>
      </w:pPr>
      <w:r>
        <w:t>Other investigations</w:t>
      </w:r>
    </w:p>
    <w:p w14:paraId="0C49E9DA" w14:textId="23EF3E96" w:rsidR="00E67341" w:rsidRDefault="00E67341" w:rsidP="005613AC">
      <w:pPr>
        <w:pStyle w:val="Subheading"/>
      </w:pPr>
      <w:r>
        <w:t xml:space="preserve">Western Sydney </w:t>
      </w:r>
      <w:r w:rsidR="0096326D">
        <w:t>U</w:t>
      </w:r>
      <w:r>
        <w:t xml:space="preserve">rban </w:t>
      </w:r>
      <w:r w:rsidR="0096326D">
        <w:t>B</w:t>
      </w:r>
      <w:r>
        <w:t xml:space="preserve">ushland </w:t>
      </w:r>
      <w:r w:rsidR="0096326D">
        <w:t>B</w:t>
      </w:r>
      <w:r w:rsidR="00C53176">
        <w:t xml:space="preserve">iodiversity </w:t>
      </w:r>
      <w:r w:rsidR="0096326D">
        <w:t>S</w:t>
      </w:r>
      <w:r>
        <w:t>urvey</w:t>
      </w:r>
    </w:p>
    <w:p w14:paraId="0A9D039A" w14:textId="4C84354C" w:rsidR="00E67341" w:rsidRDefault="00E67341" w:rsidP="00E67341">
      <w:pPr>
        <w:pStyle w:val="BodyText"/>
      </w:pPr>
      <w:r>
        <w:t xml:space="preserve">The </w:t>
      </w:r>
      <w:r w:rsidR="00C53176" w:rsidRPr="003D120C">
        <w:rPr>
          <w:i/>
        </w:rPr>
        <w:t>Western</w:t>
      </w:r>
      <w:r w:rsidR="00C53176">
        <w:t xml:space="preserve"> </w:t>
      </w:r>
      <w:r w:rsidR="00C53176" w:rsidRPr="0096326D">
        <w:rPr>
          <w:i/>
        </w:rPr>
        <w:t>Sydney</w:t>
      </w:r>
      <w:r w:rsidR="0096326D" w:rsidRPr="0096326D">
        <w:rPr>
          <w:i/>
        </w:rPr>
        <w:t xml:space="preserve"> U</w:t>
      </w:r>
      <w:r w:rsidRPr="0096326D">
        <w:rPr>
          <w:i/>
        </w:rPr>
        <w:t xml:space="preserve">rban </w:t>
      </w:r>
      <w:r w:rsidR="0096326D" w:rsidRPr="0096326D">
        <w:rPr>
          <w:i/>
        </w:rPr>
        <w:t>B</w:t>
      </w:r>
      <w:r w:rsidRPr="0096326D">
        <w:rPr>
          <w:i/>
        </w:rPr>
        <w:t xml:space="preserve">ushland </w:t>
      </w:r>
      <w:r w:rsidR="0096326D" w:rsidRPr="0096326D">
        <w:rPr>
          <w:i/>
        </w:rPr>
        <w:t>B</w:t>
      </w:r>
      <w:r w:rsidR="00C53176" w:rsidRPr="0096326D">
        <w:rPr>
          <w:i/>
        </w:rPr>
        <w:t xml:space="preserve">iodiversity </w:t>
      </w:r>
      <w:r w:rsidR="0096326D" w:rsidRPr="0096326D">
        <w:rPr>
          <w:i/>
        </w:rPr>
        <w:t>S</w:t>
      </w:r>
      <w:r w:rsidRPr="0096326D">
        <w:rPr>
          <w:i/>
        </w:rPr>
        <w:t>urvey</w:t>
      </w:r>
      <w:r w:rsidR="00C53176">
        <w:t xml:space="preserve"> (</w:t>
      </w:r>
      <w:r w:rsidR="0096326D">
        <w:t xml:space="preserve">National </w:t>
      </w:r>
      <w:r w:rsidR="003D120C">
        <w:t>P</w:t>
      </w:r>
      <w:r w:rsidR="0096326D">
        <w:t>arks and Wildlife Service</w:t>
      </w:r>
      <w:r w:rsidR="00C53176">
        <w:t xml:space="preserve"> </w:t>
      </w:r>
      <w:r>
        <w:t>1997</w:t>
      </w:r>
      <w:r w:rsidR="00BC5DFA">
        <w:t>a</w:t>
      </w:r>
      <w:r w:rsidR="00C53176">
        <w:t>)</w:t>
      </w:r>
      <w:r>
        <w:t xml:space="preserve"> outlines the type</w:t>
      </w:r>
      <w:r w:rsidR="00C53176">
        <w:t>s</w:t>
      </w:r>
      <w:r>
        <w:t xml:space="preserve"> and status of urban bushland in Western Sydney. The study discusses general trends and changes associated with flora and fauna in the area, with specific reference to historic and ongoing threats and conservation and management measures. </w:t>
      </w:r>
    </w:p>
    <w:p w14:paraId="449FCF49" w14:textId="7B91C95D" w:rsidR="00E67341" w:rsidRDefault="00E67341" w:rsidP="00E67341">
      <w:pPr>
        <w:pStyle w:val="BodyText"/>
      </w:pPr>
      <w:r>
        <w:t xml:space="preserve">While the </w:t>
      </w:r>
      <w:r w:rsidR="00C53176">
        <w:t>s</w:t>
      </w:r>
      <w:r>
        <w:t xml:space="preserve">urvey does not focus on specific areas it does provide an overview of the status of flora, fauna and ecological communities found within and around the </w:t>
      </w:r>
      <w:r w:rsidR="00B31634">
        <w:t xml:space="preserve">Commonwealth land at </w:t>
      </w:r>
      <w:r>
        <w:t xml:space="preserve">Badgerys Creek. In particular, the survey notes that Cumberland Plain Woodland (listed as endangered in 1997, </w:t>
      </w:r>
      <w:r w:rsidR="00F50B64">
        <w:t xml:space="preserve">now listed as </w:t>
      </w:r>
      <w:r>
        <w:t>critically endangered) was under particular threat from clearing for agricultural and residential purposes, alongside other threats (</w:t>
      </w:r>
      <w:r w:rsidR="00A119BB">
        <w:t xml:space="preserve">e.g. </w:t>
      </w:r>
      <w:r>
        <w:t>invasive species, declining water quality, etc).</w:t>
      </w:r>
    </w:p>
    <w:p w14:paraId="7D4D7EA1" w14:textId="5F824032" w:rsidR="00BA4552" w:rsidRDefault="00E67341" w:rsidP="00E67341">
      <w:pPr>
        <w:pStyle w:val="BodyText"/>
      </w:pPr>
      <w:r>
        <w:t xml:space="preserve">The </w:t>
      </w:r>
      <w:r w:rsidR="001C2B85">
        <w:t>report</w:t>
      </w:r>
      <w:r>
        <w:t xml:space="preserve"> briefly discusses the Badgerys Creek Corridor between The Northern Road and Elizabeth Drive. </w:t>
      </w:r>
      <w:r w:rsidR="001C2B85">
        <w:t xml:space="preserve">It </w:t>
      </w:r>
      <w:r>
        <w:t xml:space="preserve">notes the presence of Swamp Oak Forest dominated by </w:t>
      </w:r>
      <w:r w:rsidRPr="00E67341">
        <w:rPr>
          <w:i/>
        </w:rPr>
        <w:t xml:space="preserve">Casuarina </w:t>
      </w:r>
      <w:proofErr w:type="spellStart"/>
      <w:r w:rsidRPr="00E67341">
        <w:rPr>
          <w:i/>
        </w:rPr>
        <w:t>glauca</w:t>
      </w:r>
      <w:proofErr w:type="spellEnd"/>
      <w:r>
        <w:t xml:space="preserve"> intergrading with Red Gum-Cabbage Gum Forest and </w:t>
      </w:r>
      <w:r w:rsidR="001C2B85">
        <w:t>identifies</w:t>
      </w:r>
      <w:r>
        <w:t xml:space="preserve"> three species considered to be vulnerable in </w:t>
      </w:r>
      <w:r w:rsidR="001C2B85">
        <w:t>W</w:t>
      </w:r>
      <w:r>
        <w:t xml:space="preserve">estern Sydney that have been recorded in the area: </w:t>
      </w:r>
      <w:r w:rsidRPr="00E67341">
        <w:rPr>
          <w:i/>
        </w:rPr>
        <w:t xml:space="preserve">Angophora </w:t>
      </w:r>
      <w:proofErr w:type="spellStart"/>
      <w:r w:rsidRPr="00E67341">
        <w:rPr>
          <w:i/>
        </w:rPr>
        <w:t>subvelutina</w:t>
      </w:r>
      <w:proofErr w:type="spellEnd"/>
      <w:r>
        <w:t xml:space="preserve">, </w:t>
      </w:r>
      <w:proofErr w:type="spellStart"/>
      <w:r w:rsidRPr="00E67341">
        <w:rPr>
          <w:i/>
        </w:rPr>
        <w:t>Eriochloa</w:t>
      </w:r>
      <w:proofErr w:type="spellEnd"/>
      <w:r w:rsidRPr="00E67341">
        <w:rPr>
          <w:i/>
        </w:rPr>
        <w:t xml:space="preserve"> </w:t>
      </w:r>
      <w:proofErr w:type="spellStart"/>
      <w:r w:rsidRPr="00E67341">
        <w:rPr>
          <w:i/>
        </w:rPr>
        <w:t>pseudoacrotricha</w:t>
      </w:r>
      <w:proofErr w:type="spellEnd"/>
      <w:r>
        <w:t xml:space="preserve"> and </w:t>
      </w:r>
      <w:r w:rsidRPr="00E67341">
        <w:rPr>
          <w:i/>
        </w:rPr>
        <w:t xml:space="preserve">Eucalyptus </w:t>
      </w:r>
      <w:proofErr w:type="spellStart"/>
      <w:r w:rsidRPr="00E67341">
        <w:rPr>
          <w:i/>
        </w:rPr>
        <w:t>amplifolia</w:t>
      </w:r>
      <w:proofErr w:type="spellEnd"/>
      <w:r>
        <w:t xml:space="preserve">. Recommendations of the </w:t>
      </w:r>
      <w:r w:rsidR="00C61A9F">
        <w:t>survey</w:t>
      </w:r>
      <w:r>
        <w:t xml:space="preserve"> include</w:t>
      </w:r>
      <w:r w:rsidR="00EF24F5">
        <w:t>d</w:t>
      </w:r>
      <w:r>
        <w:t xml:space="preserve"> protection of vulnerable plant species and protection of the riparian corridor generally.</w:t>
      </w:r>
    </w:p>
    <w:p w14:paraId="13363F0E" w14:textId="77777777" w:rsidR="00510CF5" w:rsidRDefault="00510CF5" w:rsidP="00510CF5">
      <w:pPr>
        <w:pStyle w:val="Heading2"/>
      </w:pPr>
      <w:bookmarkStart w:id="19" w:name="_Toc400720073"/>
      <w:r>
        <w:t>Relevant legislation and guidelines</w:t>
      </w:r>
      <w:bookmarkEnd w:id="19"/>
    </w:p>
    <w:p w14:paraId="231DA8D2" w14:textId="77777777" w:rsidR="00510CF5" w:rsidRDefault="00510CF5" w:rsidP="00510CF5">
      <w:pPr>
        <w:pStyle w:val="Heading3"/>
      </w:pPr>
      <w:r>
        <w:t>Commonwealth</w:t>
      </w:r>
    </w:p>
    <w:p w14:paraId="43E244A0" w14:textId="717C8755" w:rsidR="00510CF5" w:rsidRDefault="0082235C" w:rsidP="005613AC">
      <w:pPr>
        <w:pStyle w:val="Subheading"/>
      </w:pPr>
      <w:r>
        <w:t>Environment Protection and Biodiversity Conservation Act 1999</w:t>
      </w:r>
    </w:p>
    <w:p w14:paraId="45027E09" w14:textId="068CD6A9" w:rsidR="00B31634" w:rsidRDefault="00B31634" w:rsidP="00B31634">
      <w:pPr>
        <w:pStyle w:val="BodyText"/>
      </w:pPr>
      <w:r>
        <w:t>In addition to the listing of nationally threatened species and ecological communities, migratory species and marine species, the EPBC Act contains a range of provisions dealing with the conservation of biodiversity including:</w:t>
      </w:r>
    </w:p>
    <w:p w14:paraId="0BA9F477" w14:textId="3A2CCEDC" w:rsidR="00B31634" w:rsidRDefault="00B31634" w:rsidP="00AF0095">
      <w:pPr>
        <w:pStyle w:val="ListBullet"/>
      </w:pPr>
      <w:r>
        <w:t>identifying and monitoring biodiversity, and preparing bioregional plans</w:t>
      </w:r>
    </w:p>
    <w:p w14:paraId="2E092AA3" w14:textId="386F742A" w:rsidR="00B31634" w:rsidRDefault="00B31634" w:rsidP="00AF0095">
      <w:pPr>
        <w:pStyle w:val="ListBullet"/>
      </w:pPr>
      <w:r>
        <w:t>preparing conservation advice and/or national recovery plans and wildlife conservation plans for listed species and additional protection for listed species in Commonwealth areas</w:t>
      </w:r>
    </w:p>
    <w:p w14:paraId="30B58C94" w14:textId="52409C5A" w:rsidR="00B31634" w:rsidRDefault="00B31634" w:rsidP="00AF0095">
      <w:pPr>
        <w:pStyle w:val="ListBullet"/>
      </w:pPr>
      <w:r>
        <w:t>identifying key threatening processes and the preparing threat abatement plans for such processes</w:t>
      </w:r>
    </w:p>
    <w:p w14:paraId="60EBEFBA" w14:textId="45DD5772" w:rsidR="00B31634" w:rsidRDefault="00B31634" w:rsidP="00AF0095">
      <w:pPr>
        <w:pStyle w:val="ListBullet"/>
      </w:pPr>
      <w:r>
        <w:t>access to biological resources in Commonwealth areas</w:t>
      </w:r>
    </w:p>
    <w:p w14:paraId="56589267" w14:textId="577087B4" w:rsidR="00B31634" w:rsidRDefault="00B31634" w:rsidP="00AF0095">
      <w:pPr>
        <w:pStyle w:val="ListBullet"/>
      </w:pPr>
      <w:r>
        <w:t>invasive species</w:t>
      </w:r>
    </w:p>
    <w:p w14:paraId="465C6791" w14:textId="446E1653" w:rsidR="00B31634" w:rsidRDefault="00B31634" w:rsidP="00AF0095">
      <w:pPr>
        <w:pStyle w:val="ListBullet"/>
      </w:pPr>
      <w:r>
        <w:t xml:space="preserve">voluntary conservation agreements which may cover environmentally significant private land, including </w:t>
      </w:r>
      <w:r w:rsidR="001C1E01">
        <w:t>Aboriginal</w:t>
      </w:r>
      <w:r>
        <w:t xml:space="preserve"> land</w:t>
      </w:r>
    </w:p>
    <w:p w14:paraId="05A68E85" w14:textId="6D28D357" w:rsidR="00E67341" w:rsidRDefault="00B31634" w:rsidP="00AF0095">
      <w:pPr>
        <w:pStyle w:val="ListBullet"/>
      </w:pPr>
      <w:proofErr w:type="gramStart"/>
      <w:r>
        <w:t>protection</w:t>
      </w:r>
      <w:proofErr w:type="gramEnd"/>
      <w:r>
        <w:t xml:space="preserve"> and management of World Heritage properties, National and Commonwealth Heritage places, Ramsar wetlands and Commonwealth reserves.</w:t>
      </w:r>
    </w:p>
    <w:p w14:paraId="2C3E3549" w14:textId="77777777" w:rsidR="008D39DF" w:rsidRDefault="008D39DF" w:rsidP="005613AC">
      <w:pPr>
        <w:pStyle w:val="Subheading"/>
      </w:pPr>
      <w:r>
        <w:t>Cumberland Plain Recovery Plan</w:t>
      </w:r>
    </w:p>
    <w:p w14:paraId="698EFBEC" w14:textId="5A8B3B65" w:rsidR="008D39DF" w:rsidRDefault="008D39DF" w:rsidP="008D39DF">
      <w:pPr>
        <w:pStyle w:val="BodyText"/>
      </w:pPr>
      <w:r>
        <w:t>The Cumberland Plain Recovery Plan (</w:t>
      </w:r>
      <w:proofErr w:type="spellStart"/>
      <w:r>
        <w:t>D</w:t>
      </w:r>
      <w:r w:rsidR="00FE55C3">
        <w:t>ept</w:t>
      </w:r>
      <w:proofErr w:type="spellEnd"/>
      <w:r w:rsidR="00FE55C3">
        <w:t xml:space="preserve"> of Environment, Climate Change &amp; Water (DECCW) </w:t>
      </w:r>
      <w:r>
        <w:t>2010</w:t>
      </w:r>
      <w:r w:rsidR="00F71717">
        <w:t>a</w:t>
      </w:r>
      <w:r>
        <w:t xml:space="preserve">) has been prepared under the EPBC Act and the TSC Act to promote the recovery of threatened species, populations and ecological communities on the Cumberland Plain. The recovery plan aims to guide investment in the recovery of the threatened biodiversity of western Sydney, and to inform future urban planning decisions. </w:t>
      </w:r>
    </w:p>
    <w:p w14:paraId="2D6374BC" w14:textId="77777777" w:rsidR="008D39DF" w:rsidRDefault="008D39DF" w:rsidP="008D39DF">
      <w:pPr>
        <w:pStyle w:val="BodyText"/>
      </w:pPr>
      <w:r>
        <w:t>The Cumberland Plain Recovery Plan addresses a number of species that are known or are likely to have habitat within the study area and surrounds.</w:t>
      </w:r>
    </w:p>
    <w:p w14:paraId="5B822EA1" w14:textId="20FD0913" w:rsidR="008D39DF" w:rsidRDefault="00FB1A67" w:rsidP="005613AC">
      <w:pPr>
        <w:pStyle w:val="Subheading"/>
      </w:pPr>
      <w:r>
        <w:t>Species r</w:t>
      </w:r>
      <w:r w:rsidR="008D39DF">
        <w:t xml:space="preserve">ecovery </w:t>
      </w:r>
      <w:r>
        <w:t>p</w:t>
      </w:r>
      <w:r w:rsidR="008D39DF">
        <w:t>lans</w:t>
      </w:r>
    </w:p>
    <w:p w14:paraId="2AAF1B93" w14:textId="77777777" w:rsidR="00FB1A67" w:rsidRDefault="008D39DF" w:rsidP="008D39DF">
      <w:pPr>
        <w:pStyle w:val="BodyText"/>
      </w:pPr>
      <w:r>
        <w:t>There are species</w:t>
      </w:r>
      <w:r w:rsidR="00FB1A67">
        <w:t>-</w:t>
      </w:r>
      <w:r>
        <w:t>specific national recovery plans in place for the following EPBC-listed threatened species that have potential habitat in the study area:</w:t>
      </w:r>
    </w:p>
    <w:p w14:paraId="2C92C19F" w14:textId="77777777" w:rsidR="00FB1A67" w:rsidRPr="00FB1A67" w:rsidRDefault="008D39DF" w:rsidP="00FB1A67">
      <w:pPr>
        <w:pStyle w:val="ListBullet"/>
      </w:pPr>
      <w:proofErr w:type="spellStart"/>
      <w:r w:rsidRPr="008D39DF">
        <w:rPr>
          <w:i/>
        </w:rPr>
        <w:t>Persoonia</w:t>
      </w:r>
      <w:proofErr w:type="spellEnd"/>
      <w:r w:rsidRPr="008D39DF">
        <w:rPr>
          <w:i/>
        </w:rPr>
        <w:t xml:space="preserve"> </w:t>
      </w:r>
      <w:proofErr w:type="spellStart"/>
      <w:r w:rsidRPr="008D39DF">
        <w:rPr>
          <w:i/>
        </w:rPr>
        <w:t>nutans</w:t>
      </w:r>
      <w:proofErr w:type="spellEnd"/>
    </w:p>
    <w:p w14:paraId="5C0C6D03" w14:textId="151AA896" w:rsidR="00FB1A67" w:rsidRPr="00FB1A67" w:rsidRDefault="008D39DF" w:rsidP="00FB1A67">
      <w:pPr>
        <w:pStyle w:val="ListBullet"/>
      </w:pPr>
      <w:proofErr w:type="spellStart"/>
      <w:r w:rsidRPr="008D39DF">
        <w:rPr>
          <w:i/>
        </w:rPr>
        <w:t>Pimelea</w:t>
      </w:r>
      <w:proofErr w:type="spellEnd"/>
      <w:r w:rsidRPr="008D39DF">
        <w:rPr>
          <w:i/>
        </w:rPr>
        <w:t xml:space="preserve"> </w:t>
      </w:r>
      <w:proofErr w:type="spellStart"/>
      <w:r w:rsidRPr="008D39DF">
        <w:rPr>
          <w:i/>
        </w:rPr>
        <w:t>spicata</w:t>
      </w:r>
      <w:proofErr w:type="spellEnd"/>
    </w:p>
    <w:p w14:paraId="4977876D" w14:textId="77777777" w:rsidR="00FB1A67" w:rsidRPr="00FB1A67" w:rsidRDefault="008D39DF" w:rsidP="00FB1A67">
      <w:pPr>
        <w:pStyle w:val="ListBullet"/>
      </w:pPr>
      <w:r w:rsidRPr="008D39DF">
        <w:rPr>
          <w:i/>
        </w:rPr>
        <w:t xml:space="preserve">Acacia </w:t>
      </w:r>
      <w:proofErr w:type="spellStart"/>
      <w:r w:rsidRPr="008D39DF">
        <w:rPr>
          <w:i/>
        </w:rPr>
        <w:t>pubescens</w:t>
      </w:r>
      <w:proofErr w:type="spellEnd"/>
    </w:p>
    <w:p w14:paraId="32DBA707" w14:textId="77777777" w:rsidR="00FB1A67" w:rsidRDefault="008D39DF" w:rsidP="00FB1A67">
      <w:pPr>
        <w:pStyle w:val="ListBullet"/>
      </w:pPr>
      <w:r>
        <w:t>Large-eared Pied Bat</w:t>
      </w:r>
    </w:p>
    <w:p w14:paraId="6D7F0AEF" w14:textId="77777777" w:rsidR="00FB1A67" w:rsidRDefault="008D39DF" w:rsidP="00FB1A67">
      <w:pPr>
        <w:pStyle w:val="ListBullet"/>
      </w:pPr>
      <w:r>
        <w:t>Swift Parrot</w:t>
      </w:r>
    </w:p>
    <w:p w14:paraId="7C1C36DC" w14:textId="77777777" w:rsidR="00FB1A67" w:rsidRDefault="008D39DF" w:rsidP="00FB1A67">
      <w:pPr>
        <w:pStyle w:val="ListBullet"/>
      </w:pPr>
      <w:r>
        <w:t>Glossy Black Cockatoo</w:t>
      </w:r>
    </w:p>
    <w:p w14:paraId="2C43CAA1" w14:textId="61719B84" w:rsidR="008D39DF" w:rsidRDefault="008D39DF" w:rsidP="00FB1A67">
      <w:pPr>
        <w:pStyle w:val="ListBullet"/>
      </w:pPr>
      <w:r>
        <w:t>Regent Honeyeater.</w:t>
      </w:r>
    </w:p>
    <w:p w14:paraId="02085583" w14:textId="7B0EFF07" w:rsidR="00FB1A67" w:rsidRDefault="00FB1A67" w:rsidP="005613AC">
      <w:pPr>
        <w:pStyle w:val="Subheading"/>
      </w:pPr>
      <w:r>
        <w:t>Key threatening processes</w:t>
      </w:r>
    </w:p>
    <w:p w14:paraId="14C54428" w14:textId="78BCDECB" w:rsidR="00FB1A67" w:rsidRDefault="00FB1A67" w:rsidP="00FB1A67">
      <w:pPr>
        <w:pStyle w:val="BodyText"/>
      </w:pPr>
      <w:r>
        <w:t>The EPBC Act provides for the identification and listing of key threatening processes. A threatening process is defined as such if it threatens or may threaten the survival, abundance or evolutionary development of a native species or ecological community</w:t>
      </w:r>
    </w:p>
    <w:p w14:paraId="6ED46389" w14:textId="38EAB25D" w:rsidR="00FB1A67" w:rsidRDefault="00FB1A67" w:rsidP="00FB1A67">
      <w:pPr>
        <w:pStyle w:val="BodyText"/>
      </w:pPr>
      <w:r>
        <w:t>The following key threatening processes listed under the EPBC Act are likely to be relevant to the study area:</w:t>
      </w:r>
    </w:p>
    <w:p w14:paraId="64FB67AB" w14:textId="0B4F838F" w:rsidR="00FB1A67" w:rsidRDefault="00183087" w:rsidP="00FB1A67">
      <w:pPr>
        <w:pStyle w:val="ListBullet"/>
      </w:pPr>
      <w:r>
        <w:t>a</w:t>
      </w:r>
      <w:r w:rsidR="00FB1A67">
        <w:t>ggressive exclusion of birds from potential woodland and forest habitat by over-abundant noisy miners (</w:t>
      </w:r>
      <w:proofErr w:type="spellStart"/>
      <w:r w:rsidR="00FB1A67" w:rsidRPr="00FB1A67">
        <w:rPr>
          <w:i/>
        </w:rPr>
        <w:t>Manorina</w:t>
      </w:r>
      <w:proofErr w:type="spellEnd"/>
      <w:r w:rsidR="00FB1A67" w:rsidRPr="00FB1A67">
        <w:rPr>
          <w:i/>
        </w:rPr>
        <w:t xml:space="preserve"> </w:t>
      </w:r>
      <w:proofErr w:type="spellStart"/>
      <w:r w:rsidR="00FB1A67" w:rsidRPr="00FB1A67">
        <w:rPr>
          <w:i/>
        </w:rPr>
        <w:t>melanocephala</w:t>
      </w:r>
      <w:proofErr w:type="spellEnd"/>
      <w:r w:rsidR="00FB1A67">
        <w:t>)</w:t>
      </w:r>
    </w:p>
    <w:p w14:paraId="1BC4F05A" w14:textId="5A6E352E" w:rsidR="00FB1A67" w:rsidRDefault="00183087" w:rsidP="00FB1A67">
      <w:pPr>
        <w:pStyle w:val="ListBullet"/>
      </w:pPr>
      <w:r>
        <w:t>c</w:t>
      </w:r>
      <w:r w:rsidR="00FB1A67">
        <w:t>ompetition and land degradation by rabbits</w:t>
      </w:r>
    </w:p>
    <w:p w14:paraId="6D456F61" w14:textId="4BAB6D8B" w:rsidR="00FB1A67" w:rsidRDefault="00183087" w:rsidP="00FB1A67">
      <w:pPr>
        <w:pStyle w:val="ListBullet"/>
      </w:pPr>
      <w:r>
        <w:t>d</w:t>
      </w:r>
      <w:r w:rsidR="00FB1A67">
        <w:t>ieback caused by the root-rot fungus (</w:t>
      </w:r>
      <w:r w:rsidR="00FB1A67" w:rsidRPr="00FB1A67">
        <w:rPr>
          <w:i/>
        </w:rPr>
        <w:t xml:space="preserve">Phytophthora </w:t>
      </w:r>
      <w:proofErr w:type="spellStart"/>
      <w:r w:rsidR="00FB1A67" w:rsidRPr="00FB1A67">
        <w:rPr>
          <w:i/>
        </w:rPr>
        <w:t>cinnamomi</w:t>
      </w:r>
      <w:proofErr w:type="spellEnd"/>
      <w:r w:rsidR="00FB1A67">
        <w:t>)</w:t>
      </w:r>
    </w:p>
    <w:p w14:paraId="1BCECF68" w14:textId="44F3209E" w:rsidR="00FB1A67" w:rsidRDefault="00183087" w:rsidP="00FB1A67">
      <w:pPr>
        <w:pStyle w:val="ListBullet"/>
      </w:pPr>
      <w:r>
        <w:t>i</w:t>
      </w:r>
      <w:r w:rsidR="00FB1A67">
        <w:t xml:space="preserve">nfection of amphibians with chytrid fungus resulting in </w:t>
      </w:r>
      <w:proofErr w:type="spellStart"/>
      <w:r w:rsidR="00FB1A67">
        <w:t>chytridiomycosis</w:t>
      </w:r>
      <w:proofErr w:type="spellEnd"/>
    </w:p>
    <w:p w14:paraId="67F7834C" w14:textId="64DDA159" w:rsidR="00FB1A67" w:rsidRDefault="00183087" w:rsidP="00FB1A67">
      <w:pPr>
        <w:pStyle w:val="ListBullet"/>
      </w:pPr>
      <w:r>
        <w:t>l</w:t>
      </w:r>
      <w:r w:rsidR="00FB1A67">
        <w:t>and clearance</w:t>
      </w:r>
    </w:p>
    <w:p w14:paraId="1D74F57F" w14:textId="49FE66FB" w:rsidR="00FB1A67" w:rsidRDefault="00183087" w:rsidP="00FB1A67">
      <w:pPr>
        <w:pStyle w:val="ListBullet"/>
      </w:pPr>
      <w:r>
        <w:t>l</w:t>
      </w:r>
      <w:r w:rsidR="00FB1A67">
        <w:t>oss and degradation of native plant and animal habitat by invasion of escaped garden plants, including aquatic plants</w:t>
      </w:r>
    </w:p>
    <w:p w14:paraId="2AFAB86B" w14:textId="7E1908D9" w:rsidR="00FB1A67" w:rsidRDefault="00183087" w:rsidP="00FB1A67">
      <w:pPr>
        <w:pStyle w:val="ListBullet"/>
      </w:pPr>
      <w:proofErr w:type="gramStart"/>
      <w:r>
        <w:t>p</w:t>
      </w:r>
      <w:r w:rsidR="00FB1A67">
        <w:t>redation</w:t>
      </w:r>
      <w:proofErr w:type="gramEnd"/>
      <w:r w:rsidR="00FB1A67">
        <w:t xml:space="preserve"> by European Red Fox.</w:t>
      </w:r>
    </w:p>
    <w:p w14:paraId="6F81ABF2" w14:textId="4175617D" w:rsidR="00FB1A67" w:rsidRDefault="00FB1A67" w:rsidP="005613AC">
      <w:pPr>
        <w:pStyle w:val="Subheading"/>
      </w:pPr>
      <w:r>
        <w:t>Threat abatement plans</w:t>
      </w:r>
    </w:p>
    <w:p w14:paraId="5CAE6344" w14:textId="5588CDFC" w:rsidR="00FB1A67" w:rsidRDefault="00FB1A67" w:rsidP="00FB1A67">
      <w:pPr>
        <w:pStyle w:val="BodyText"/>
      </w:pPr>
      <w:r>
        <w:t>Threat abatement plans provide for the research, management, and any other actions necessary to reduce the impact of a listed key threatening process on native species and ecological communities. Those of likely relevance to the study area are:</w:t>
      </w:r>
    </w:p>
    <w:p w14:paraId="29230763" w14:textId="30D384CB" w:rsidR="00FB1A67" w:rsidRDefault="00183087" w:rsidP="00FB1A67">
      <w:pPr>
        <w:pStyle w:val="ListBullet"/>
      </w:pPr>
      <w:r>
        <w:t>t</w:t>
      </w:r>
      <w:r w:rsidR="00FB1A67">
        <w:t>hreat abatement plan for competition and land degradation by rabbits</w:t>
      </w:r>
    </w:p>
    <w:p w14:paraId="3FDF3915" w14:textId="5F8EED73" w:rsidR="00FB1A67" w:rsidRDefault="00183087" w:rsidP="00FB1A67">
      <w:pPr>
        <w:pStyle w:val="ListBullet"/>
      </w:pPr>
      <w:r>
        <w:t>t</w:t>
      </w:r>
      <w:r w:rsidR="00FB1A67">
        <w:t xml:space="preserve">hreat abatement plan for disease in natural ecosystems caused by </w:t>
      </w:r>
      <w:r w:rsidR="00FB1A67" w:rsidRPr="00FB1A67">
        <w:rPr>
          <w:i/>
        </w:rPr>
        <w:t xml:space="preserve">Phytophthora </w:t>
      </w:r>
      <w:proofErr w:type="spellStart"/>
      <w:r w:rsidR="00FB1A67" w:rsidRPr="00FB1A67">
        <w:rPr>
          <w:i/>
        </w:rPr>
        <w:t>cinnamomi</w:t>
      </w:r>
      <w:proofErr w:type="spellEnd"/>
    </w:p>
    <w:p w14:paraId="719DA57B" w14:textId="4C7DC844" w:rsidR="00FB1A67" w:rsidRDefault="00183087" w:rsidP="00FB1A67">
      <w:pPr>
        <w:pStyle w:val="ListBullet"/>
      </w:pPr>
      <w:r>
        <w:t>t</w:t>
      </w:r>
      <w:r w:rsidR="00FB1A67">
        <w:t xml:space="preserve">hreat abatement plan for infection of amphibians with chytrid fungus resulting in </w:t>
      </w:r>
      <w:proofErr w:type="spellStart"/>
      <w:r w:rsidR="00FB1A67">
        <w:t>chytridiomycosis</w:t>
      </w:r>
      <w:proofErr w:type="spellEnd"/>
    </w:p>
    <w:p w14:paraId="5989B3FF" w14:textId="036E98C4" w:rsidR="00FB1A67" w:rsidRDefault="00183087" w:rsidP="00FB1A67">
      <w:pPr>
        <w:pStyle w:val="ListBullet"/>
      </w:pPr>
      <w:proofErr w:type="gramStart"/>
      <w:r>
        <w:t>t</w:t>
      </w:r>
      <w:r w:rsidR="00FB1A67">
        <w:t>hreat</w:t>
      </w:r>
      <w:proofErr w:type="gramEnd"/>
      <w:r w:rsidR="00FB1A67">
        <w:t xml:space="preserve"> abatement plan for predation by European Red Fox.</w:t>
      </w:r>
    </w:p>
    <w:p w14:paraId="0B3909F8" w14:textId="60B4787F" w:rsidR="00E67341" w:rsidRDefault="00E67341" w:rsidP="005613AC">
      <w:pPr>
        <w:pStyle w:val="Subheading"/>
      </w:pPr>
      <w:r>
        <w:t>Guidelines and strategies</w:t>
      </w:r>
    </w:p>
    <w:p w14:paraId="264013E3" w14:textId="25A79DAB" w:rsidR="00E67341" w:rsidRDefault="007925C3" w:rsidP="00510CF5">
      <w:pPr>
        <w:pStyle w:val="BodyText"/>
      </w:pPr>
      <w:r w:rsidRPr="007925C3">
        <w:t>Commonwealth guidelines and strategies related to biodiversity conservation</w:t>
      </w:r>
      <w:r>
        <w:t xml:space="preserve"> that are of likely or potential relevance to the study area are listed in the following table with comment provided on the nature of their relevance.</w:t>
      </w:r>
    </w:p>
    <w:p w14:paraId="397CF230" w14:textId="31D07F72" w:rsidR="00E313DB" w:rsidRDefault="00E313DB" w:rsidP="007D21D4">
      <w:pPr>
        <w:pStyle w:val="Caption"/>
        <w:keepNext/>
        <w:ind w:left="1134" w:hanging="1134"/>
      </w:pPr>
      <w:bookmarkStart w:id="20" w:name="_Ref400632388"/>
      <w:bookmarkStart w:id="21" w:name="_Toc402442834"/>
      <w:proofErr w:type="gramStart"/>
      <w:r>
        <w:t xml:space="preserve">Table </w:t>
      </w:r>
      <w:proofErr w:type="gramEnd"/>
      <w:r w:rsidR="001C525C">
        <w:fldChar w:fldCharType="begin"/>
      </w:r>
      <w:r w:rsidR="001C525C">
        <w:instrText xml:space="preserve"> STYLEREF 1 \s </w:instrText>
      </w:r>
      <w:r w:rsidR="001C525C">
        <w:fldChar w:fldCharType="separate"/>
      </w:r>
      <w:r w:rsidR="004E469D">
        <w:rPr>
          <w:noProof/>
        </w:rPr>
        <w:t>2</w:t>
      </w:r>
      <w:r w:rsidR="001C525C">
        <w:rPr>
          <w:noProof/>
        </w:rPr>
        <w:fldChar w:fldCharType="end"/>
      </w:r>
      <w:proofErr w:type="gramStart"/>
      <w:r w:rsidR="00EF76BA">
        <w:t>.</w:t>
      </w:r>
      <w:proofErr w:type="gramEnd"/>
      <w:r w:rsidR="001C525C">
        <w:fldChar w:fldCharType="begin"/>
      </w:r>
      <w:r w:rsidR="001C525C">
        <w:instrText xml:space="preserve"> SEQ Table \* ARABIC \s 1 </w:instrText>
      </w:r>
      <w:r w:rsidR="001C525C">
        <w:fldChar w:fldCharType="separate"/>
      </w:r>
      <w:r w:rsidR="004E469D">
        <w:rPr>
          <w:noProof/>
        </w:rPr>
        <w:t>1</w:t>
      </w:r>
      <w:r w:rsidR="001C525C">
        <w:rPr>
          <w:noProof/>
        </w:rPr>
        <w:fldChar w:fldCharType="end"/>
      </w:r>
      <w:bookmarkEnd w:id="20"/>
      <w:r>
        <w:tab/>
        <w:t>Commonwealth guidelines and strategies related to biodiversity conservation</w:t>
      </w:r>
      <w:bookmarkEnd w:id="21"/>
    </w:p>
    <w:tbl>
      <w:tblPr>
        <w:tblStyle w:val="TableGrid"/>
        <w:tblW w:w="9180" w:type="dxa"/>
        <w:tblBorders>
          <w:bottom w:val="single" w:sz="4" w:space="0" w:color="auto"/>
        </w:tblBorders>
        <w:tblLook w:val="04A0" w:firstRow="1" w:lastRow="0" w:firstColumn="1" w:lastColumn="0" w:noHBand="0" w:noVBand="1"/>
        <w:tblCaption w:val="Table 2.1 Commonwealth guidelines and strategies related to biodiversity conservation"/>
        <w:tblDescription w:val="Table 2.1 Commonwealth guidelines and strategies related to biodiversity conservation"/>
      </w:tblPr>
      <w:tblGrid>
        <w:gridCol w:w="2235"/>
        <w:gridCol w:w="1275"/>
        <w:gridCol w:w="5670"/>
      </w:tblGrid>
      <w:tr w:rsidR="00623281" w:rsidRPr="001F789B" w14:paraId="4F334876" w14:textId="77777777" w:rsidTr="0096326D">
        <w:trPr>
          <w:trHeight w:val="340"/>
          <w:tblHeader/>
        </w:trPr>
        <w:tc>
          <w:tcPr>
            <w:tcW w:w="2235" w:type="dxa"/>
          </w:tcPr>
          <w:p w14:paraId="2CA887A8" w14:textId="6F5D8CD6" w:rsidR="00623281" w:rsidRPr="001F789B" w:rsidRDefault="00623281" w:rsidP="00612172">
            <w:pPr>
              <w:pStyle w:val="TableHeader"/>
            </w:pPr>
            <w:r>
              <w:t>Guideline/Strategy</w:t>
            </w:r>
          </w:p>
        </w:tc>
        <w:tc>
          <w:tcPr>
            <w:tcW w:w="1275" w:type="dxa"/>
          </w:tcPr>
          <w:p w14:paraId="5C16ACFF" w14:textId="6BEF2F20" w:rsidR="00623281" w:rsidRDefault="00623281" w:rsidP="00612172">
            <w:pPr>
              <w:pStyle w:val="TableHeader"/>
            </w:pPr>
            <w:r>
              <w:t>Agency</w:t>
            </w:r>
          </w:p>
        </w:tc>
        <w:tc>
          <w:tcPr>
            <w:tcW w:w="5670" w:type="dxa"/>
          </w:tcPr>
          <w:p w14:paraId="58690009" w14:textId="5451AAEA" w:rsidR="00623281" w:rsidRPr="001F789B" w:rsidRDefault="00623281" w:rsidP="00612172">
            <w:pPr>
              <w:pStyle w:val="TableHeader"/>
            </w:pPr>
            <w:r>
              <w:t>Comment</w:t>
            </w:r>
          </w:p>
        </w:tc>
      </w:tr>
      <w:tr w:rsidR="00623281" w:rsidRPr="00F06DBB" w14:paraId="7E2464EF" w14:textId="77777777" w:rsidTr="0096326D">
        <w:trPr>
          <w:trHeight w:val="340"/>
        </w:trPr>
        <w:tc>
          <w:tcPr>
            <w:tcW w:w="2235" w:type="dxa"/>
          </w:tcPr>
          <w:p w14:paraId="7D6FC5FB" w14:textId="70FA42D1" w:rsidR="00623281" w:rsidRPr="00F06DBB" w:rsidRDefault="00623281" w:rsidP="00612172">
            <w:pPr>
              <w:pStyle w:val="TableBody"/>
            </w:pPr>
            <w:r w:rsidRPr="00E67341">
              <w:t>National Biodiversity Conservation Strategy</w:t>
            </w:r>
            <w:r>
              <w:t xml:space="preserve"> (2010-2030)</w:t>
            </w:r>
          </w:p>
        </w:tc>
        <w:tc>
          <w:tcPr>
            <w:tcW w:w="1275" w:type="dxa"/>
          </w:tcPr>
          <w:p w14:paraId="70B24C08" w14:textId="0F860FA7" w:rsidR="00623281" w:rsidRDefault="000A7081" w:rsidP="00E67341">
            <w:pPr>
              <w:pStyle w:val="TableBody"/>
            </w:pPr>
            <w:r>
              <w:t>DoE</w:t>
            </w:r>
          </w:p>
        </w:tc>
        <w:tc>
          <w:tcPr>
            <w:tcW w:w="5670" w:type="dxa"/>
          </w:tcPr>
          <w:p w14:paraId="1030F379" w14:textId="6CF7923E" w:rsidR="00623281" w:rsidRDefault="00623281" w:rsidP="00E67341">
            <w:pPr>
              <w:pStyle w:val="TableBody"/>
            </w:pPr>
            <w:r>
              <w:t xml:space="preserve">Identifies three priorities for action to help stop, and then reverse, the current decline in Australia‘s biodiversity. </w:t>
            </w:r>
          </w:p>
          <w:p w14:paraId="40F9128B" w14:textId="77777777" w:rsidR="00623281" w:rsidRDefault="00623281" w:rsidP="00E67341">
            <w:pPr>
              <w:pStyle w:val="TableBody"/>
              <w:ind w:left="459" w:hanging="374"/>
            </w:pPr>
            <w:r>
              <w:t>•</w:t>
            </w:r>
            <w:r>
              <w:tab/>
              <w:t>Engaging all Australians in biodiversity conservation.</w:t>
            </w:r>
          </w:p>
          <w:p w14:paraId="2E493112" w14:textId="1EBBE8E7" w:rsidR="00623281" w:rsidRDefault="0096326D" w:rsidP="00E67341">
            <w:pPr>
              <w:pStyle w:val="TableBody"/>
              <w:ind w:left="459" w:hanging="374"/>
            </w:pPr>
            <w:r>
              <w:t>•</w:t>
            </w:r>
            <w:r>
              <w:tab/>
              <w:t>Building e</w:t>
            </w:r>
            <w:r w:rsidR="00623281">
              <w:t xml:space="preserve">cosystem </w:t>
            </w:r>
            <w:r>
              <w:t>r</w:t>
            </w:r>
            <w:r w:rsidR="00623281">
              <w:t>esilience in a changing climate.</w:t>
            </w:r>
          </w:p>
          <w:p w14:paraId="440B3CB3" w14:textId="48EC3975" w:rsidR="00623281" w:rsidRPr="00F06DBB" w:rsidRDefault="00623281" w:rsidP="00E67341">
            <w:pPr>
              <w:pStyle w:val="TableBody"/>
              <w:ind w:left="459" w:hanging="374"/>
            </w:pPr>
            <w:r>
              <w:t>•</w:t>
            </w:r>
            <w:r>
              <w:tab/>
              <w:t>Getting measurable results.</w:t>
            </w:r>
          </w:p>
        </w:tc>
      </w:tr>
      <w:tr w:rsidR="00623281" w:rsidRPr="00F06DBB" w14:paraId="64FFB200" w14:textId="77777777" w:rsidTr="0096326D">
        <w:trPr>
          <w:trHeight w:val="340"/>
        </w:trPr>
        <w:tc>
          <w:tcPr>
            <w:tcW w:w="2235" w:type="dxa"/>
          </w:tcPr>
          <w:p w14:paraId="554110B8" w14:textId="6BC04E83" w:rsidR="00623281" w:rsidRDefault="00623281" w:rsidP="00612172">
            <w:pPr>
              <w:pStyle w:val="TableBody"/>
            </w:pPr>
            <w:r w:rsidRPr="00E67341">
              <w:t>National Weeds Strategy</w:t>
            </w:r>
          </w:p>
        </w:tc>
        <w:tc>
          <w:tcPr>
            <w:tcW w:w="1275" w:type="dxa"/>
          </w:tcPr>
          <w:p w14:paraId="5B47498A" w14:textId="25134007" w:rsidR="00623281" w:rsidRPr="00E67341" w:rsidRDefault="000A7081" w:rsidP="00612172">
            <w:pPr>
              <w:pStyle w:val="TableBody"/>
            </w:pPr>
            <w:r>
              <w:t>DoE</w:t>
            </w:r>
          </w:p>
        </w:tc>
        <w:tc>
          <w:tcPr>
            <w:tcW w:w="5670" w:type="dxa"/>
          </w:tcPr>
          <w:p w14:paraId="3C2B5243" w14:textId="031BC453" w:rsidR="00623281" w:rsidRPr="00F06DBB" w:rsidRDefault="00623281" w:rsidP="00612172">
            <w:pPr>
              <w:pStyle w:val="TableBody"/>
            </w:pPr>
            <w:r w:rsidRPr="00E67341">
              <w:t>Under the National Weeds Strategy, 32 Weeds of National Significance (</w:t>
            </w:r>
            <w:proofErr w:type="spellStart"/>
            <w:r w:rsidRPr="00E67341">
              <w:t>WoNS</w:t>
            </w:r>
            <w:proofErr w:type="spellEnd"/>
            <w:r w:rsidRPr="00E67341">
              <w:t xml:space="preserve">) have been identified by Australian governments based on their invasiveness, potential for spread and environmental, social and economic impacts. Individual landowners and managers are ultimately responsible for managing </w:t>
            </w:r>
            <w:proofErr w:type="spellStart"/>
            <w:r w:rsidRPr="00E67341">
              <w:t>WoNS</w:t>
            </w:r>
            <w:proofErr w:type="spellEnd"/>
            <w:r w:rsidRPr="00E67341">
              <w:t>.</w:t>
            </w:r>
          </w:p>
        </w:tc>
      </w:tr>
      <w:tr w:rsidR="00623281" w:rsidRPr="00F06DBB" w14:paraId="532B61D4" w14:textId="77777777" w:rsidTr="0096326D">
        <w:trPr>
          <w:trHeight w:val="340"/>
        </w:trPr>
        <w:tc>
          <w:tcPr>
            <w:tcW w:w="2235" w:type="dxa"/>
          </w:tcPr>
          <w:p w14:paraId="20DB1F66" w14:textId="38223422" w:rsidR="00623281" w:rsidRPr="00E67341" w:rsidRDefault="00623281" w:rsidP="0096326D">
            <w:pPr>
              <w:pStyle w:val="TableBody"/>
            </w:pPr>
            <w:r w:rsidRPr="00E67341">
              <w:t>EPBC Significant Impact Guidelines</w:t>
            </w:r>
            <w:r w:rsidR="0096326D">
              <w:t xml:space="preserve"> 1.1</w:t>
            </w:r>
            <w:r w:rsidRPr="00E67341">
              <w:t xml:space="preserve"> (Matters of NES)</w:t>
            </w:r>
          </w:p>
        </w:tc>
        <w:tc>
          <w:tcPr>
            <w:tcW w:w="1275" w:type="dxa"/>
          </w:tcPr>
          <w:p w14:paraId="36F38AD8" w14:textId="6E8C1585" w:rsidR="00623281" w:rsidRPr="00E67341" w:rsidRDefault="000A7081" w:rsidP="00612172">
            <w:pPr>
              <w:pStyle w:val="TableBody"/>
            </w:pPr>
            <w:r>
              <w:t>DoE</w:t>
            </w:r>
          </w:p>
        </w:tc>
        <w:tc>
          <w:tcPr>
            <w:tcW w:w="5670" w:type="dxa"/>
          </w:tcPr>
          <w:p w14:paraId="11505DCE" w14:textId="70A8F3A1" w:rsidR="00623281" w:rsidRPr="00E67341" w:rsidRDefault="000A7081" w:rsidP="00273E7D">
            <w:pPr>
              <w:pStyle w:val="TableBody"/>
            </w:pPr>
            <w:r w:rsidRPr="000A7081">
              <w:t>Provide overarching guidance on determining whether an action is likely to have a significant impact on a matter protected under national environment law, the EPBC Act, and whether a referral to the Australian Department of</w:t>
            </w:r>
            <w:r w:rsidR="00273E7D">
              <w:t xml:space="preserve"> the Environment is necessary.</w:t>
            </w:r>
          </w:p>
        </w:tc>
      </w:tr>
      <w:tr w:rsidR="0096326D" w:rsidRPr="00F06DBB" w14:paraId="20FAAAF0" w14:textId="77777777" w:rsidTr="0096326D">
        <w:trPr>
          <w:trHeight w:val="340"/>
        </w:trPr>
        <w:tc>
          <w:tcPr>
            <w:tcW w:w="2235" w:type="dxa"/>
          </w:tcPr>
          <w:p w14:paraId="7710A318" w14:textId="12379980" w:rsidR="0096326D" w:rsidRPr="00E67341" w:rsidRDefault="0096326D" w:rsidP="0096326D">
            <w:pPr>
              <w:pStyle w:val="TableBody"/>
            </w:pPr>
            <w:r w:rsidRPr="0096326D">
              <w:t>EPBC Significant Impact Guidelines 1.2 (Actions on, or impacting upon, Commonwealth land, and actions by Commonwealth agencies)</w:t>
            </w:r>
          </w:p>
        </w:tc>
        <w:tc>
          <w:tcPr>
            <w:tcW w:w="1275" w:type="dxa"/>
          </w:tcPr>
          <w:p w14:paraId="544DCA9A" w14:textId="3549FE25" w:rsidR="0096326D" w:rsidRDefault="0096326D" w:rsidP="00612172">
            <w:pPr>
              <w:pStyle w:val="TableBody"/>
            </w:pPr>
            <w:r>
              <w:t>DoE</w:t>
            </w:r>
          </w:p>
        </w:tc>
        <w:tc>
          <w:tcPr>
            <w:tcW w:w="5670" w:type="dxa"/>
          </w:tcPr>
          <w:p w14:paraId="47624B97" w14:textId="47A0D98A" w:rsidR="0096326D" w:rsidRPr="000A7081" w:rsidRDefault="0096326D" w:rsidP="00273E7D">
            <w:pPr>
              <w:pStyle w:val="TableBody"/>
            </w:pPr>
            <w:r w:rsidRPr="0096326D">
              <w:t>Assists in deciding whether or not to submit a referral to the DoE for a decision by the federal environment minister on whether assessment and approval is required under the EPBC Act. This guideline applies to any person who proposes to undertake an action which is either situated on Commonwealth land or which may impact on Commonwealth land, and/or representatives of Commonwealth agencies who propose to undertake an action that may affect the environment anywhere in the world.</w:t>
            </w:r>
          </w:p>
        </w:tc>
      </w:tr>
      <w:tr w:rsidR="00623281" w:rsidRPr="00F06DBB" w14:paraId="053ACBB0" w14:textId="77777777" w:rsidTr="0096326D">
        <w:trPr>
          <w:trHeight w:val="340"/>
        </w:trPr>
        <w:tc>
          <w:tcPr>
            <w:tcW w:w="2235" w:type="dxa"/>
          </w:tcPr>
          <w:p w14:paraId="41F998D1" w14:textId="0F410D92" w:rsidR="00623281" w:rsidRPr="00E67341" w:rsidRDefault="00623281" w:rsidP="00612172">
            <w:pPr>
              <w:pStyle w:val="TableBody"/>
            </w:pPr>
            <w:r w:rsidRPr="00E67341">
              <w:t>Draft EPBC Act Referral Guidelines for the Vulnerable Koala</w:t>
            </w:r>
          </w:p>
        </w:tc>
        <w:tc>
          <w:tcPr>
            <w:tcW w:w="1275" w:type="dxa"/>
          </w:tcPr>
          <w:p w14:paraId="16C77334" w14:textId="0F228C60" w:rsidR="00623281" w:rsidRPr="00E67341" w:rsidRDefault="000A7081" w:rsidP="00612172">
            <w:pPr>
              <w:pStyle w:val="TableBody"/>
            </w:pPr>
            <w:r>
              <w:t>DoE</w:t>
            </w:r>
          </w:p>
        </w:tc>
        <w:tc>
          <w:tcPr>
            <w:tcW w:w="5670" w:type="dxa"/>
          </w:tcPr>
          <w:p w14:paraId="6F7DD4A1" w14:textId="747E7F71" w:rsidR="000A7081" w:rsidRDefault="000A7081" w:rsidP="000A7081">
            <w:pPr>
              <w:pStyle w:val="TableBody"/>
            </w:pPr>
            <w:r>
              <w:t>Provides guidance to proponents regarding whether an action is likely to require referral to the Commonwealth Department of the Environment due to impacts on the Koala. In doing so the guidelines seek to:</w:t>
            </w:r>
          </w:p>
          <w:p w14:paraId="49530705" w14:textId="7B37F0A2" w:rsidR="000A7081" w:rsidRDefault="000A7081" w:rsidP="000A7081">
            <w:pPr>
              <w:pStyle w:val="Bullets-TechSpecs"/>
            </w:pPr>
            <w:r>
              <w:t>Promote avoidance and mitigation of significant impacts on the koala.</w:t>
            </w:r>
          </w:p>
          <w:p w14:paraId="11411F44" w14:textId="1B78A340" w:rsidR="000A7081" w:rsidRDefault="000A7081" w:rsidP="000A7081">
            <w:pPr>
              <w:pStyle w:val="Bullets-TechSpecs"/>
            </w:pPr>
            <w:r>
              <w:t>Promote and ensure the recovery of the koala through the regulatory requirements of the EPBC Act.</w:t>
            </w:r>
          </w:p>
          <w:p w14:paraId="0A591C05" w14:textId="006C2CD3" w:rsidR="000A7081" w:rsidRDefault="000A7081" w:rsidP="000A7081">
            <w:pPr>
              <w:pStyle w:val="Bullets-TechSpecs"/>
            </w:pPr>
            <w:r>
              <w:t>Promote a clear, consistent and transparent approach for proponents deciding whether to refer an action to the Department for approval and assessment of significant impacts on the koala.</w:t>
            </w:r>
          </w:p>
          <w:p w14:paraId="1F68741A" w14:textId="12A86657" w:rsidR="00623281" w:rsidRPr="00E67341" w:rsidRDefault="000A7081" w:rsidP="000A7081">
            <w:pPr>
              <w:pStyle w:val="Bullets-TechSpecs"/>
            </w:pPr>
            <w:r>
              <w:t>Promote streamlined decision-making and approval processes.</w:t>
            </w:r>
          </w:p>
        </w:tc>
      </w:tr>
      <w:tr w:rsidR="00623281" w:rsidRPr="00F06DBB" w14:paraId="59CC7A62" w14:textId="77777777" w:rsidTr="0096326D">
        <w:trPr>
          <w:trHeight w:val="340"/>
        </w:trPr>
        <w:tc>
          <w:tcPr>
            <w:tcW w:w="2235" w:type="dxa"/>
          </w:tcPr>
          <w:p w14:paraId="480F98DF" w14:textId="6512F17B" w:rsidR="00623281" w:rsidRPr="00E67341" w:rsidRDefault="00623281" w:rsidP="00612172">
            <w:pPr>
              <w:pStyle w:val="TableBody"/>
            </w:pPr>
            <w:r w:rsidRPr="00E67341">
              <w:t>Significant Impact Guidelines for the Green and Golden Bell Frog</w:t>
            </w:r>
          </w:p>
        </w:tc>
        <w:tc>
          <w:tcPr>
            <w:tcW w:w="1275" w:type="dxa"/>
          </w:tcPr>
          <w:p w14:paraId="6F479036" w14:textId="616AC3F6" w:rsidR="00623281" w:rsidRPr="00E67341" w:rsidRDefault="000A7081" w:rsidP="00612172">
            <w:pPr>
              <w:pStyle w:val="TableBody"/>
            </w:pPr>
            <w:r>
              <w:t>DoE</w:t>
            </w:r>
          </w:p>
        </w:tc>
        <w:tc>
          <w:tcPr>
            <w:tcW w:w="5670" w:type="dxa"/>
          </w:tcPr>
          <w:p w14:paraId="1968853F" w14:textId="249A664F" w:rsidR="00623281" w:rsidRPr="00E67341" w:rsidRDefault="000A7081" w:rsidP="00612172">
            <w:pPr>
              <w:pStyle w:val="TableBody"/>
            </w:pPr>
            <w:r w:rsidRPr="000A7081">
              <w:t>Designed to assist in determining whether a proposed action is likely to have a significant impact on the green and golden bell frog. These guidelines are to be applied over and above the legal obligations as set out in the EPBC Act. The guidelines also include best practice survey methodology and advice on avoidance or mitigation of significant impacts upon populations and individuals.</w:t>
            </w:r>
          </w:p>
        </w:tc>
      </w:tr>
      <w:tr w:rsidR="00623281" w:rsidRPr="00F06DBB" w14:paraId="1D15A802" w14:textId="77777777" w:rsidTr="0096326D">
        <w:trPr>
          <w:trHeight w:val="340"/>
        </w:trPr>
        <w:tc>
          <w:tcPr>
            <w:tcW w:w="2235" w:type="dxa"/>
          </w:tcPr>
          <w:p w14:paraId="1F4B5A13" w14:textId="68D9BE0B" w:rsidR="00623281" w:rsidRPr="00E67341" w:rsidRDefault="00623281" w:rsidP="00F71717">
            <w:pPr>
              <w:pStyle w:val="TableBody"/>
              <w:pageBreakBefore/>
            </w:pPr>
            <w:r w:rsidRPr="00E67341">
              <w:t>EPBC Act Administrative Guidelines on Significance - Supplement for the Grey-headed Flying-fox</w:t>
            </w:r>
          </w:p>
        </w:tc>
        <w:tc>
          <w:tcPr>
            <w:tcW w:w="1275" w:type="dxa"/>
          </w:tcPr>
          <w:p w14:paraId="337B662E" w14:textId="3B6FF87F" w:rsidR="00623281" w:rsidRPr="00E67341" w:rsidRDefault="000A7081" w:rsidP="00612172">
            <w:pPr>
              <w:pStyle w:val="TableBody"/>
            </w:pPr>
            <w:r>
              <w:t>DoE</w:t>
            </w:r>
          </w:p>
        </w:tc>
        <w:tc>
          <w:tcPr>
            <w:tcW w:w="5670" w:type="dxa"/>
          </w:tcPr>
          <w:p w14:paraId="28CB5F59" w14:textId="72FB6045" w:rsidR="00623281" w:rsidRPr="00E67341" w:rsidRDefault="000A7081" w:rsidP="00612172">
            <w:pPr>
              <w:pStyle w:val="TableBody"/>
            </w:pPr>
            <w:r w:rsidRPr="000A7081">
              <w:t>Provides general guidance to assist in determining whether a proposed activity is likely to have a significant impact on the grey-headed flying fox and whether a referral to DoE is required. These guidelines are applied over and above the legal obligations as set out in the EPBC Act.</w:t>
            </w:r>
          </w:p>
        </w:tc>
      </w:tr>
      <w:tr w:rsidR="00623281" w:rsidRPr="00F06DBB" w14:paraId="7A326F95" w14:textId="77777777" w:rsidTr="0096326D">
        <w:trPr>
          <w:trHeight w:val="340"/>
        </w:trPr>
        <w:tc>
          <w:tcPr>
            <w:tcW w:w="2235" w:type="dxa"/>
          </w:tcPr>
          <w:p w14:paraId="5106464A" w14:textId="57FC6747" w:rsidR="00623281" w:rsidRPr="00E67341" w:rsidRDefault="00623281" w:rsidP="00612172">
            <w:pPr>
              <w:pStyle w:val="TableBody"/>
            </w:pPr>
            <w:r w:rsidRPr="00E67341">
              <w:t>EPBC Species Survey Guidelines</w:t>
            </w:r>
          </w:p>
        </w:tc>
        <w:tc>
          <w:tcPr>
            <w:tcW w:w="1275" w:type="dxa"/>
          </w:tcPr>
          <w:p w14:paraId="7FA4AF8A" w14:textId="519CEDC3" w:rsidR="00623281" w:rsidRPr="00E67341" w:rsidRDefault="000A7081" w:rsidP="00612172">
            <w:pPr>
              <w:pStyle w:val="TableBody"/>
            </w:pPr>
            <w:r>
              <w:t>DoE</w:t>
            </w:r>
          </w:p>
        </w:tc>
        <w:tc>
          <w:tcPr>
            <w:tcW w:w="5670" w:type="dxa"/>
          </w:tcPr>
          <w:p w14:paraId="0475C05E" w14:textId="5737E1C7" w:rsidR="000A7081" w:rsidRDefault="0096326D" w:rsidP="000A7081">
            <w:pPr>
              <w:pStyle w:val="TableBody"/>
            </w:pPr>
            <w:r w:rsidRPr="0096326D">
              <w:t>The Commonwealth Department of the Environment has prepared a range of survey guidelines that provide advice on survey techniques for specific threatened species and give guidance on the Department's expectations with regard to surveys. The following survey guidelines for Australian flora and fauna are currently available:</w:t>
            </w:r>
          </w:p>
          <w:p w14:paraId="3461935E" w14:textId="3352036C" w:rsidR="000A7081" w:rsidRDefault="000A7081" w:rsidP="000A7081">
            <w:pPr>
              <w:pStyle w:val="Bullets-TechSpecs"/>
            </w:pPr>
            <w:r>
              <w:t>Threaten</w:t>
            </w:r>
            <w:r w:rsidR="0096326D">
              <w:t>ed Bats</w:t>
            </w:r>
          </w:p>
          <w:p w14:paraId="1E5F3FFD" w14:textId="5634859A" w:rsidR="000A7081" w:rsidRDefault="0096326D" w:rsidP="000A7081">
            <w:pPr>
              <w:pStyle w:val="Bullets-TechSpecs"/>
            </w:pPr>
            <w:r>
              <w:t>Threatened Birds</w:t>
            </w:r>
          </w:p>
          <w:p w14:paraId="47268149" w14:textId="31A6B8FB" w:rsidR="000A7081" w:rsidRDefault="0096326D" w:rsidP="000A7081">
            <w:pPr>
              <w:pStyle w:val="Bullets-TechSpecs"/>
            </w:pPr>
            <w:r>
              <w:t>Threatened Frogs</w:t>
            </w:r>
          </w:p>
          <w:p w14:paraId="2B3AA616" w14:textId="109B2BD6" w:rsidR="000A7081" w:rsidRDefault="0096326D" w:rsidP="000A7081">
            <w:pPr>
              <w:pStyle w:val="Bullets-TechSpecs"/>
            </w:pPr>
            <w:r>
              <w:t>Threatened Fish</w:t>
            </w:r>
          </w:p>
          <w:p w14:paraId="0402684C" w14:textId="5A2BFA0D" w:rsidR="000A7081" w:rsidRDefault="0096326D" w:rsidP="000A7081">
            <w:pPr>
              <w:pStyle w:val="Bullets-TechSpecs"/>
            </w:pPr>
            <w:r>
              <w:t>Threatened Mammals</w:t>
            </w:r>
          </w:p>
          <w:p w14:paraId="6B67D7F7" w14:textId="4A8770E7" w:rsidR="000A7081" w:rsidRDefault="0096326D" w:rsidP="000A7081">
            <w:pPr>
              <w:pStyle w:val="Bullets-TechSpecs"/>
            </w:pPr>
            <w:r>
              <w:t>Threatened Reptiles</w:t>
            </w:r>
          </w:p>
          <w:p w14:paraId="78C35F78" w14:textId="7E5CDF1F" w:rsidR="00623281" w:rsidRPr="00E67341" w:rsidRDefault="000A7081" w:rsidP="000A7081">
            <w:pPr>
              <w:pStyle w:val="Bullets-TechSpecs"/>
            </w:pPr>
            <w:r>
              <w:t>Draft survey guidelines for Australia's Threatened Orchids.</w:t>
            </w:r>
          </w:p>
        </w:tc>
      </w:tr>
      <w:tr w:rsidR="000A7081" w:rsidRPr="00F06DBB" w14:paraId="6885C82F" w14:textId="77777777" w:rsidTr="0096326D">
        <w:trPr>
          <w:trHeight w:val="340"/>
        </w:trPr>
        <w:tc>
          <w:tcPr>
            <w:tcW w:w="2235" w:type="dxa"/>
          </w:tcPr>
          <w:p w14:paraId="098E1F17" w14:textId="258C089A" w:rsidR="000A7081" w:rsidRPr="00E67341" w:rsidRDefault="000A7081" w:rsidP="00612172">
            <w:pPr>
              <w:pStyle w:val="TableBody"/>
            </w:pPr>
            <w:r w:rsidRPr="000A7081">
              <w:t>EPBC Environmental Offsets Policy (2012) and Offsets Assessment Guide</w:t>
            </w:r>
          </w:p>
        </w:tc>
        <w:tc>
          <w:tcPr>
            <w:tcW w:w="1275" w:type="dxa"/>
          </w:tcPr>
          <w:p w14:paraId="2C4B629D" w14:textId="0832C335" w:rsidR="000A7081" w:rsidRDefault="000A7081" w:rsidP="00612172">
            <w:pPr>
              <w:pStyle w:val="TableBody"/>
            </w:pPr>
            <w:r>
              <w:t>DoE</w:t>
            </w:r>
          </w:p>
        </w:tc>
        <w:tc>
          <w:tcPr>
            <w:tcW w:w="5670" w:type="dxa"/>
          </w:tcPr>
          <w:p w14:paraId="6312EFC8" w14:textId="35BD27C0" w:rsidR="000A7081" w:rsidRDefault="000A7081" w:rsidP="00DD5422">
            <w:pPr>
              <w:pStyle w:val="TableBody"/>
            </w:pPr>
            <w:r w:rsidRPr="000A7081">
              <w:t>Provides guidance on the role of offsets in environmental impact assessments, and how DoE considers the suitability of a proposed offset. It aims to improve environmental outcomes through the consistent application of best practice offset principles, provide more certainty and transparency, and encourage advanced planning of offsets.</w:t>
            </w:r>
          </w:p>
        </w:tc>
      </w:tr>
    </w:tbl>
    <w:p w14:paraId="6EEA1CA0" w14:textId="77777777" w:rsidR="00E67341" w:rsidRDefault="00E67341" w:rsidP="00510CF5">
      <w:pPr>
        <w:pStyle w:val="BodyText"/>
      </w:pPr>
    </w:p>
    <w:p w14:paraId="5A6F7AC6" w14:textId="77777777" w:rsidR="00510CF5" w:rsidRDefault="00510CF5" w:rsidP="00510CF5">
      <w:pPr>
        <w:pStyle w:val="Heading3"/>
      </w:pPr>
      <w:r>
        <w:t>New South Wales</w:t>
      </w:r>
    </w:p>
    <w:p w14:paraId="3494F720" w14:textId="77777777" w:rsidR="004C53E8" w:rsidRDefault="004C53E8" w:rsidP="005613AC">
      <w:pPr>
        <w:pStyle w:val="Subheading"/>
      </w:pPr>
      <w:r>
        <w:t>National Parks and Wildlife Act 1974</w:t>
      </w:r>
    </w:p>
    <w:p w14:paraId="51D96183" w14:textId="77777777" w:rsidR="004C53E8" w:rsidRDefault="004C53E8" w:rsidP="004C53E8">
      <w:pPr>
        <w:pStyle w:val="BodyText"/>
      </w:pPr>
      <w:r w:rsidRPr="001A3268">
        <w:t>The NPW Act sets out the requirements for the conservation of nature, ecosystems, biological diversity, landscapes and landforms and objects, places or features of cultural value within the landscape. The NPW Act sets out the responsibilities for the management of national parks.</w:t>
      </w:r>
    </w:p>
    <w:p w14:paraId="40B18857" w14:textId="77777777" w:rsidR="004C53E8" w:rsidRDefault="004C53E8" w:rsidP="005613AC">
      <w:pPr>
        <w:pStyle w:val="Subheading"/>
      </w:pPr>
      <w:r>
        <w:t>Environmental Planning and Assessment Act 1979</w:t>
      </w:r>
    </w:p>
    <w:p w14:paraId="75C84778" w14:textId="77777777" w:rsidR="004C53E8" w:rsidRDefault="004C53E8" w:rsidP="004C53E8">
      <w:pPr>
        <w:pStyle w:val="BodyText"/>
      </w:pPr>
      <w:r>
        <w:t xml:space="preserve">The EP&amp;A Act is the primary legislation regulating land use in NSW. One of the objects of the Act is to encourage ecologically sustainable development (ESD). </w:t>
      </w:r>
      <w:proofErr w:type="gramStart"/>
      <w:r>
        <w:t xml:space="preserve">Schedule 2 to the </w:t>
      </w:r>
      <w:r w:rsidRPr="00693016">
        <w:rPr>
          <w:i/>
        </w:rPr>
        <w:t>Environmental Planning and Assessment Regulation 2000</w:t>
      </w:r>
      <w:r>
        <w:t xml:space="preserve"> sets out the principles of ESD which include the conservation of biological diversity and ecological integrity.</w:t>
      </w:r>
      <w:proofErr w:type="gramEnd"/>
    </w:p>
    <w:p w14:paraId="1F6ACCF1" w14:textId="77777777" w:rsidR="004C53E8" w:rsidRDefault="004C53E8" w:rsidP="004C53E8">
      <w:pPr>
        <w:pStyle w:val="BodyText"/>
      </w:pPr>
      <w:r>
        <w:t>The Act contains certain provisions to facilitate appropriate consideration of biodiversity issues including:</w:t>
      </w:r>
    </w:p>
    <w:p w14:paraId="5F450740" w14:textId="77777777" w:rsidR="004C53E8" w:rsidRDefault="004C53E8" w:rsidP="00AF0095">
      <w:pPr>
        <w:pStyle w:val="ListBullet"/>
      </w:pPr>
      <w:r>
        <w:t>Section 5A – matters for consideration with regard to a significant effect on threatened species, populations or ecological communities, or their habitats (informally referred to as ‘the seven part test’)</w:t>
      </w:r>
    </w:p>
    <w:p w14:paraId="763409F3" w14:textId="77777777" w:rsidR="004C53E8" w:rsidRDefault="004C53E8" w:rsidP="00AF0095">
      <w:pPr>
        <w:pStyle w:val="ListBullet"/>
      </w:pPr>
      <w:r>
        <w:t>Section 5B – requirement for planning authorities to have regard of the register of critical habitat (kept and maintained by OEH under the TSC Act) when exercising their functions under the EP&amp;A Act ( a similar provision exists under Section 110C with regard to determining authorities)</w:t>
      </w:r>
    </w:p>
    <w:p w14:paraId="456E981A" w14:textId="77777777" w:rsidR="004C53E8" w:rsidRDefault="004C53E8" w:rsidP="00AF0095">
      <w:pPr>
        <w:pStyle w:val="ListBullet"/>
      </w:pPr>
      <w:r>
        <w:t xml:space="preserve">Section 5C – application of the EP&amp;A Act in relation to </w:t>
      </w:r>
      <w:r w:rsidRPr="00693016">
        <w:t>critical habitat of fish or marine vegetation, or threatened species, populations or ecological communities of fish or marine vegetation, or their habitats</w:t>
      </w:r>
    </w:p>
    <w:p w14:paraId="3ECDFBC8" w14:textId="77777777" w:rsidR="004C53E8" w:rsidRDefault="004C53E8" w:rsidP="00AF0095">
      <w:pPr>
        <w:pStyle w:val="ListBullet"/>
      </w:pPr>
      <w:r>
        <w:t>Section 112A – requirement for a determining authority when considering an SIS to have regard to any relevant recovery plan or threat abatement plan.</w:t>
      </w:r>
    </w:p>
    <w:p w14:paraId="7F40F56E" w14:textId="015AA767" w:rsidR="004C53E8" w:rsidRDefault="00712B14" w:rsidP="00712B14">
      <w:pPr>
        <w:pStyle w:val="BodyText"/>
      </w:pPr>
      <w:r w:rsidRPr="00712B14">
        <w:t xml:space="preserve">Part 3 of the EP&amp;A Act provides for </w:t>
      </w:r>
      <w:r>
        <w:t xml:space="preserve">the making of </w:t>
      </w:r>
      <w:r w:rsidRPr="00712B14">
        <w:t xml:space="preserve">specific </w:t>
      </w:r>
      <w:r>
        <w:t>EPIs</w:t>
      </w:r>
      <w:r w:rsidRPr="00712B14">
        <w:t xml:space="preserve"> to regulate land use and development. </w:t>
      </w:r>
      <w:r w:rsidR="004C53E8">
        <w:fldChar w:fldCharType="begin"/>
      </w:r>
      <w:r w:rsidR="004C53E8">
        <w:instrText xml:space="preserve"> REF _Ref400019309 \h </w:instrText>
      </w:r>
      <w:r w:rsidR="004C53E8">
        <w:fldChar w:fldCharType="separate"/>
      </w:r>
      <w:r w:rsidR="004E469D">
        <w:t xml:space="preserve">Table </w:t>
      </w:r>
      <w:r w:rsidR="004E469D">
        <w:rPr>
          <w:noProof/>
        </w:rPr>
        <w:t>2</w:t>
      </w:r>
      <w:r w:rsidR="004E469D">
        <w:t>.</w:t>
      </w:r>
      <w:r w:rsidR="004E469D">
        <w:rPr>
          <w:noProof/>
        </w:rPr>
        <w:t>2</w:t>
      </w:r>
      <w:r w:rsidR="004C53E8">
        <w:fldChar w:fldCharType="end"/>
      </w:r>
      <w:r w:rsidR="004C53E8">
        <w:t xml:space="preserve"> identifies two EPIs that specifically address biodiversity.</w:t>
      </w:r>
    </w:p>
    <w:p w14:paraId="7A146BA0" w14:textId="19DB3E16" w:rsidR="004C53E8" w:rsidRDefault="004C53E8" w:rsidP="004C53E8">
      <w:pPr>
        <w:pStyle w:val="Caption"/>
        <w:keepNext/>
        <w:ind w:left="1134" w:hanging="1134"/>
      </w:pPr>
      <w:bookmarkStart w:id="22" w:name="_Ref400019309"/>
      <w:bookmarkStart w:id="23" w:name="_Toc402442835"/>
      <w:proofErr w:type="gramStart"/>
      <w:r>
        <w:t xml:space="preserve">Table </w:t>
      </w:r>
      <w:proofErr w:type="gramEnd"/>
      <w:r w:rsidR="001C525C">
        <w:fldChar w:fldCharType="begin"/>
      </w:r>
      <w:r w:rsidR="001C525C">
        <w:instrText xml:space="preserve"> STYLEREF 1 \s </w:instrText>
      </w:r>
      <w:r w:rsidR="001C525C">
        <w:fldChar w:fldCharType="separate"/>
      </w:r>
      <w:r w:rsidR="004E469D">
        <w:rPr>
          <w:noProof/>
        </w:rPr>
        <w:t>2</w:t>
      </w:r>
      <w:r w:rsidR="001C525C">
        <w:rPr>
          <w:noProof/>
        </w:rPr>
        <w:fldChar w:fldCharType="end"/>
      </w:r>
      <w:proofErr w:type="gramStart"/>
      <w:r w:rsidR="00EF76BA">
        <w:t>.</w:t>
      </w:r>
      <w:proofErr w:type="gramEnd"/>
      <w:r w:rsidR="001C525C">
        <w:fldChar w:fldCharType="begin"/>
      </w:r>
      <w:r w:rsidR="001C525C">
        <w:instrText xml:space="preserve"> SEQ Table \* ARABIC \s 1 </w:instrText>
      </w:r>
      <w:r w:rsidR="001C525C">
        <w:fldChar w:fldCharType="separate"/>
      </w:r>
      <w:r w:rsidR="004E469D">
        <w:rPr>
          <w:noProof/>
        </w:rPr>
        <w:t>2</w:t>
      </w:r>
      <w:r w:rsidR="001C525C">
        <w:rPr>
          <w:noProof/>
        </w:rPr>
        <w:fldChar w:fldCharType="end"/>
      </w:r>
      <w:bookmarkEnd w:id="22"/>
      <w:r>
        <w:tab/>
      </w:r>
      <w:r w:rsidRPr="00986B5F">
        <w:t>EPIs made under the EP&amp;A Act related to biodiversity</w:t>
      </w:r>
      <w:r>
        <w:t xml:space="preserve"> conservation</w:t>
      </w:r>
      <w:bookmarkEnd w:id="23"/>
    </w:p>
    <w:tbl>
      <w:tblPr>
        <w:tblStyle w:val="TableGrid"/>
        <w:tblW w:w="9072" w:type="dxa"/>
        <w:tblBorders>
          <w:bottom w:val="single" w:sz="4" w:space="0" w:color="auto"/>
        </w:tblBorders>
        <w:tblLook w:val="04A0" w:firstRow="1" w:lastRow="0" w:firstColumn="1" w:lastColumn="0" w:noHBand="0" w:noVBand="1"/>
        <w:tblCaption w:val="Table 2.2 EPIs made under the EP&amp;A Act related to biodiversity conservation"/>
        <w:tblDescription w:val="Table 2.2 EPIs made under the EP&amp;A Act related to biodiversity conservation"/>
      </w:tblPr>
      <w:tblGrid>
        <w:gridCol w:w="2660"/>
        <w:gridCol w:w="6412"/>
      </w:tblGrid>
      <w:tr w:rsidR="004C53E8" w:rsidRPr="00806F5D" w14:paraId="468277CF" w14:textId="77777777" w:rsidTr="00151EBE">
        <w:trPr>
          <w:trHeight w:val="340"/>
          <w:tblHeader/>
        </w:trPr>
        <w:tc>
          <w:tcPr>
            <w:tcW w:w="2660" w:type="dxa"/>
          </w:tcPr>
          <w:p w14:paraId="7C71E443" w14:textId="77777777" w:rsidR="004C53E8" w:rsidRPr="00806F5D" w:rsidRDefault="004C53E8" w:rsidP="00273E7D">
            <w:pPr>
              <w:pStyle w:val="TableHeader"/>
              <w:keepNext/>
            </w:pPr>
            <w:r>
              <w:t>EPI</w:t>
            </w:r>
          </w:p>
        </w:tc>
        <w:tc>
          <w:tcPr>
            <w:tcW w:w="6412" w:type="dxa"/>
          </w:tcPr>
          <w:p w14:paraId="384EEA62" w14:textId="77777777" w:rsidR="004C53E8" w:rsidRPr="00806F5D" w:rsidRDefault="004C53E8" w:rsidP="00273E7D">
            <w:pPr>
              <w:pStyle w:val="TableHeader"/>
            </w:pPr>
            <w:r>
              <w:t>Comment</w:t>
            </w:r>
          </w:p>
        </w:tc>
      </w:tr>
      <w:tr w:rsidR="004C53E8" w:rsidRPr="00F06DBB" w14:paraId="0DB327B0" w14:textId="77777777" w:rsidTr="00273E7D">
        <w:trPr>
          <w:trHeight w:val="340"/>
        </w:trPr>
        <w:tc>
          <w:tcPr>
            <w:tcW w:w="2660" w:type="dxa"/>
          </w:tcPr>
          <w:p w14:paraId="163B219C" w14:textId="77777777" w:rsidR="004C53E8" w:rsidRPr="007A4848" w:rsidRDefault="004C53E8" w:rsidP="00273E7D">
            <w:pPr>
              <w:pStyle w:val="TableBody"/>
            </w:pPr>
            <w:r w:rsidRPr="009D41B4">
              <w:t>SEPP 19 – Bushland in Urban Areas</w:t>
            </w:r>
          </w:p>
        </w:tc>
        <w:tc>
          <w:tcPr>
            <w:tcW w:w="6412" w:type="dxa"/>
          </w:tcPr>
          <w:p w14:paraId="7585163D" w14:textId="77777777" w:rsidR="004C53E8" w:rsidRPr="007A4848" w:rsidRDefault="004C53E8" w:rsidP="00273E7D">
            <w:pPr>
              <w:pStyle w:val="TableBody"/>
            </w:pPr>
            <w:r>
              <w:t xml:space="preserve">Aims to </w:t>
            </w:r>
            <w:proofErr w:type="gramStart"/>
            <w:r w:rsidRPr="009D41B4">
              <w:t>protects</w:t>
            </w:r>
            <w:proofErr w:type="gramEnd"/>
            <w:r w:rsidRPr="009D41B4">
              <w:t xml:space="preserve"> and preserves bushland within certain urban areas (including Liverpool LGA) as part of the natural heritage or for recreational, educational and scientific purposes. The policy is designed to protect bushland in public open space zones and reservations, and to ensure that bush preservation is given a high priority when local environmental plans for urban development are prepared.</w:t>
            </w:r>
          </w:p>
        </w:tc>
      </w:tr>
      <w:tr w:rsidR="004C53E8" w:rsidRPr="00F06DBB" w14:paraId="2656CDD1" w14:textId="77777777" w:rsidTr="00273E7D">
        <w:trPr>
          <w:trHeight w:val="340"/>
        </w:trPr>
        <w:tc>
          <w:tcPr>
            <w:tcW w:w="2660" w:type="dxa"/>
          </w:tcPr>
          <w:p w14:paraId="2D063247" w14:textId="77777777" w:rsidR="004C53E8" w:rsidRPr="007A4848" w:rsidRDefault="004C53E8" w:rsidP="00273E7D">
            <w:pPr>
              <w:pStyle w:val="TableBody"/>
            </w:pPr>
            <w:r>
              <w:t xml:space="preserve">SEPP </w:t>
            </w:r>
            <w:r w:rsidRPr="00344B33">
              <w:t>44—Koala Habitat Protection</w:t>
            </w:r>
          </w:p>
        </w:tc>
        <w:tc>
          <w:tcPr>
            <w:tcW w:w="6412" w:type="dxa"/>
          </w:tcPr>
          <w:p w14:paraId="61C38F21" w14:textId="77777777" w:rsidR="004C53E8" w:rsidRPr="007A4848" w:rsidRDefault="004C53E8" w:rsidP="00273E7D">
            <w:pPr>
              <w:pStyle w:val="TableBody"/>
            </w:pPr>
            <w:r w:rsidRPr="009D41B4">
              <w:t>The objective of SEPP 44 is to encourage the proper conservation and management of areas of natural vegetation that provide habitat for koalas to ensure a permanent free-living population over their present range and reverse the current trend of koala population decline.</w:t>
            </w:r>
          </w:p>
        </w:tc>
      </w:tr>
    </w:tbl>
    <w:p w14:paraId="417BFCCF" w14:textId="77777777" w:rsidR="00F71717" w:rsidRDefault="00F71717" w:rsidP="00F71717">
      <w:pPr>
        <w:pStyle w:val="BodyText"/>
      </w:pPr>
    </w:p>
    <w:p w14:paraId="4CD130C9" w14:textId="77777777" w:rsidR="004C53E8" w:rsidRDefault="004C53E8" w:rsidP="005613AC">
      <w:pPr>
        <w:pStyle w:val="Subheading"/>
      </w:pPr>
      <w:r>
        <w:t>Noxious Weeds Act 1993</w:t>
      </w:r>
    </w:p>
    <w:p w14:paraId="1049723A" w14:textId="77777777" w:rsidR="004C53E8" w:rsidRDefault="004C53E8" w:rsidP="004C53E8">
      <w:pPr>
        <w:pStyle w:val="BodyText"/>
      </w:pPr>
      <w:r w:rsidRPr="00B91871">
        <w:t xml:space="preserve">Under the </w:t>
      </w:r>
      <w:r w:rsidRPr="00B91871">
        <w:rPr>
          <w:i/>
        </w:rPr>
        <w:t>Noxious Weeds Act 1993</w:t>
      </w:r>
      <w:r w:rsidRPr="00B91871">
        <w:t xml:space="preserve">, public authorities are required to control noxious weeds </w:t>
      </w:r>
      <w:r>
        <w:t>that</w:t>
      </w:r>
      <w:r w:rsidRPr="00B91871">
        <w:t xml:space="preserve"> are likely to spread to adjoining land.</w:t>
      </w:r>
    </w:p>
    <w:p w14:paraId="27F91AD8" w14:textId="77777777" w:rsidR="004C53E8" w:rsidRDefault="004C53E8" w:rsidP="005613AC">
      <w:pPr>
        <w:pStyle w:val="Subheading"/>
      </w:pPr>
      <w:r>
        <w:t>Fisheries Management Act 1994</w:t>
      </w:r>
    </w:p>
    <w:p w14:paraId="1A878B84" w14:textId="77777777" w:rsidR="004C53E8" w:rsidRDefault="004C53E8" w:rsidP="004C53E8">
      <w:pPr>
        <w:pStyle w:val="BodyText"/>
      </w:pPr>
      <w:r w:rsidRPr="001A3268">
        <w:t xml:space="preserve">The </w:t>
      </w:r>
      <w:r w:rsidRPr="001A3268">
        <w:rPr>
          <w:i/>
        </w:rPr>
        <w:t>Fisheries Management Act 1994</w:t>
      </w:r>
      <w:r w:rsidRPr="001A3268">
        <w:t xml:space="preserve"> seeks to protect threatened species, populations and ecological communities of fish and marine vegetation, and other living resources of NSW waters.</w:t>
      </w:r>
    </w:p>
    <w:p w14:paraId="01C5F72B" w14:textId="35CE78FD" w:rsidR="00510CF5" w:rsidRDefault="0082235C" w:rsidP="005613AC">
      <w:pPr>
        <w:pStyle w:val="Subheading"/>
      </w:pPr>
      <w:r>
        <w:t>Threatened Species Conservation Act 1995</w:t>
      </w:r>
    </w:p>
    <w:p w14:paraId="553B1A75" w14:textId="0041C728" w:rsidR="001A3268" w:rsidRDefault="001A3268" w:rsidP="001A3268">
      <w:pPr>
        <w:pStyle w:val="BodyText"/>
      </w:pPr>
      <w:r>
        <w:t>The TSC Act protects threatened flora and fauna species, endangered populations and ecological communities and their habitats within NSW.</w:t>
      </w:r>
      <w:r w:rsidR="00986B5F">
        <w:t xml:space="preserve"> The Act contains </w:t>
      </w:r>
      <w:r w:rsidR="00E313DB">
        <w:t>a number of specific</w:t>
      </w:r>
      <w:r w:rsidR="00986B5F">
        <w:t xml:space="preserve"> provisions </w:t>
      </w:r>
      <w:r w:rsidR="00E313DB">
        <w:t>aimed at conserving biodiversity as identified in the following table.</w:t>
      </w:r>
    </w:p>
    <w:p w14:paraId="0B22BB8B" w14:textId="64B1DB25" w:rsidR="00E313DB" w:rsidRDefault="00E313DB" w:rsidP="007D21D4">
      <w:pPr>
        <w:pStyle w:val="Caption"/>
        <w:keepNext/>
        <w:ind w:left="1134" w:hanging="1134"/>
      </w:pPr>
      <w:bookmarkStart w:id="24" w:name="_Toc402442836"/>
      <w:proofErr w:type="gramStart"/>
      <w:r>
        <w:t xml:space="preserve">Table </w:t>
      </w:r>
      <w:proofErr w:type="gramEnd"/>
      <w:r w:rsidR="001C525C">
        <w:fldChar w:fldCharType="begin"/>
      </w:r>
      <w:r w:rsidR="001C525C">
        <w:instrText xml:space="preserve"> STYLEREF 1 \s </w:instrText>
      </w:r>
      <w:r w:rsidR="001C525C">
        <w:fldChar w:fldCharType="separate"/>
      </w:r>
      <w:r w:rsidR="004E469D">
        <w:rPr>
          <w:noProof/>
        </w:rPr>
        <w:t>2</w:t>
      </w:r>
      <w:r w:rsidR="001C525C">
        <w:rPr>
          <w:noProof/>
        </w:rPr>
        <w:fldChar w:fldCharType="end"/>
      </w:r>
      <w:proofErr w:type="gramStart"/>
      <w:r w:rsidR="00EF76BA">
        <w:t>.</w:t>
      </w:r>
      <w:proofErr w:type="gramEnd"/>
      <w:r w:rsidR="001C525C">
        <w:fldChar w:fldCharType="begin"/>
      </w:r>
      <w:r w:rsidR="001C525C">
        <w:instrText xml:space="preserve"> SEQ Table \* ARABIC \s 1 </w:instrText>
      </w:r>
      <w:r w:rsidR="001C525C">
        <w:fldChar w:fldCharType="separate"/>
      </w:r>
      <w:r w:rsidR="004E469D">
        <w:rPr>
          <w:noProof/>
        </w:rPr>
        <w:t>3</w:t>
      </w:r>
      <w:r w:rsidR="001C525C">
        <w:rPr>
          <w:noProof/>
        </w:rPr>
        <w:fldChar w:fldCharType="end"/>
      </w:r>
      <w:r>
        <w:tab/>
        <w:t>Key TSC Act provisions related to biodiversity conservation</w:t>
      </w:r>
      <w:bookmarkEnd w:id="24"/>
    </w:p>
    <w:tbl>
      <w:tblPr>
        <w:tblStyle w:val="TableGrid"/>
        <w:tblW w:w="9039" w:type="dxa"/>
        <w:tblBorders>
          <w:bottom w:val="single" w:sz="4" w:space="0" w:color="auto"/>
        </w:tblBorders>
        <w:tblLook w:val="04A0" w:firstRow="1" w:lastRow="0" w:firstColumn="1" w:lastColumn="0" w:noHBand="0" w:noVBand="1"/>
        <w:tblCaption w:val="Table 2.3 Key TSC Act provisions related to biodiversity conservation"/>
        <w:tblDescription w:val="Table 2.3 Key TSC Act provisions related to biodiversity conservation"/>
      </w:tblPr>
      <w:tblGrid>
        <w:gridCol w:w="2361"/>
        <w:gridCol w:w="6678"/>
      </w:tblGrid>
      <w:tr w:rsidR="001A3268" w:rsidRPr="001F789B" w14:paraId="0857A44D" w14:textId="77777777" w:rsidTr="00150F8F">
        <w:trPr>
          <w:trHeight w:val="340"/>
          <w:tblHeader/>
        </w:trPr>
        <w:tc>
          <w:tcPr>
            <w:tcW w:w="2361" w:type="dxa"/>
          </w:tcPr>
          <w:p w14:paraId="68368B27" w14:textId="4F33B84D" w:rsidR="001A3268" w:rsidRPr="001F789B" w:rsidRDefault="00986B5F" w:rsidP="00986B5F">
            <w:pPr>
              <w:pStyle w:val="TableHeader"/>
              <w:ind w:left="0"/>
            </w:pPr>
            <w:r>
              <w:t>TSC Act provision</w:t>
            </w:r>
          </w:p>
        </w:tc>
        <w:tc>
          <w:tcPr>
            <w:tcW w:w="6678" w:type="dxa"/>
          </w:tcPr>
          <w:p w14:paraId="064B0DA8" w14:textId="77777777" w:rsidR="001A3268" w:rsidRPr="001F789B" w:rsidRDefault="001A3268" w:rsidP="007D21D4">
            <w:pPr>
              <w:pStyle w:val="TableHeader"/>
            </w:pPr>
            <w:r>
              <w:t>Comment</w:t>
            </w:r>
          </w:p>
        </w:tc>
      </w:tr>
      <w:tr w:rsidR="001A3268" w:rsidRPr="00F06DBB" w14:paraId="06971E33" w14:textId="77777777" w:rsidTr="00712B14">
        <w:trPr>
          <w:trHeight w:val="340"/>
        </w:trPr>
        <w:tc>
          <w:tcPr>
            <w:tcW w:w="2361" w:type="dxa"/>
          </w:tcPr>
          <w:p w14:paraId="671E21F0" w14:textId="59C0FF6C" w:rsidR="001A3268" w:rsidRDefault="001A3268" w:rsidP="007D21D4">
            <w:pPr>
              <w:pStyle w:val="TableBody"/>
            </w:pPr>
            <w:r w:rsidRPr="001A3268">
              <w:t>Recovery Plans</w:t>
            </w:r>
          </w:p>
        </w:tc>
        <w:tc>
          <w:tcPr>
            <w:tcW w:w="6678" w:type="dxa"/>
          </w:tcPr>
          <w:p w14:paraId="12A6083F" w14:textId="61542E0C" w:rsidR="001A3268" w:rsidRPr="00F06DBB" w:rsidRDefault="001A3268" w:rsidP="007D21D4">
            <w:pPr>
              <w:pStyle w:val="TableBody"/>
            </w:pPr>
            <w:r w:rsidRPr="001A3268">
              <w:t>In addition to the national recovery plans identified under the EPBC Act, a number of NSW Recovery Plans, prepared under the TSC Act, are in place for the Large Forest Owls Powerful Owl (</w:t>
            </w:r>
            <w:proofErr w:type="spellStart"/>
            <w:r w:rsidRPr="001A3268">
              <w:rPr>
                <w:i/>
              </w:rPr>
              <w:t>Ninox</w:t>
            </w:r>
            <w:proofErr w:type="spellEnd"/>
            <w:r w:rsidRPr="001A3268">
              <w:rPr>
                <w:i/>
              </w:rPr>
              <w:t xml:space="preserve"> </w:t>
            </w:r>
            <w:proofErr w:type="spellStart"/>
            <w:r w:rsidRPr="001A3268">
              <w:rPr>
                <w:i/>
              </w:rPr>
              <w:t>strenua</w:t>
            </w:r>
            <w:proofErr w:type="spellEnd"/>
            <w:r w:rsidRPr="001A3268">
              <w:t>), Sooty Owl (</w:t>
            </w:r>
            <w:proofErr w:type="spellStart"/>
            <w:r w:rsidRPr="001A3268">
              <w:rPr>
                <w:i/>
              </w:rPr>
              <w:t>Tyto</w:t>
            </w:r>
            <w:proofErr w:type="spellEnd"/>
            <w:r w:rsidRPr="001A3268">
              <w:rPr>
                <w:i/>
              </w:rPr>
              <w:t xml:space="preserve"> </w:t>
            </w:r>
            <w:proofErr w:type="spellStart"/>
            <w:r w:rsidRPr="001A3268">
              <w:rPr>
                <w:i/>
              </w:rPr>
              <w:t>tenebricosa</w:t>
            </w:r>
            <w:proofErr w:type="spellEnd"/>
            <w:r w:rsidRPr="001A3268">
              <w:t>) and Masked Owl (</w:t>
            </w:r>
            <w:proofErr w:type="spellStart"/>
            <w:r w:rsidRPr="001A3268">
              <w:rPr>
                <w:i/>
              </w:rPr>
              <w:t>Tyto</w:t>
            </w:r>
            <w:proofErr w:type="spellEnd"/>
            <w:r w:rsidRPr="001A3268">
              <w:rPr>
                <w:i/>
              </w:rPr>
              <w:t xml:space="preserve"> </w:t>
            </w:r>
            <w:proofErr w:type="spellStart"/>
            <w:r w:rsidRPr="001A3268">
              <w:rPr>
                <w:i/>
              </w:rPr>
              <w:t>novaehollandiae</w:t>
            </w:r>
            <w:proofErr w:type="spellEnd"/>
            <w:r w:rsidRPr="001A3268">
              <w:t>).</w:t>
            </w:r>
          </w:p>
        </w:tc>
      </w:tr>
      <w:tr w:rsidR="00E313DB" w:rsidRPr="00F06DBB" w14:paraId="340E6AC4" w14:textId="77777777" w:rsidTr="00712B14">
        <w:trPr>
          <w:trHeight w:val="340"/>
        </w:trPr>
        <w:tc>
          <w:tcPr>
            <w:tcW w:w="2361" w:type="dxa"/>
          </w:tcPr>
          <w:p w14:paraId="7648F5D7" w14:textId="693F4AFA" w:rsidR="00E313DB" w:rsidRPr="001A3268" w:rsidRDefault="00E313DB" w:rsidP="007D21D4">
            <w:pPr>
              <w:pStyle w:val="TableBody"/>
            </w:pPr>
            <w:r w:rsidRPr="001A3268">
              <w:t>Threatened Species Priority Action Statement</w:t>
            </w:r>
          </w:p>
        </w:tc>
        <w:tc>
          <w:tcPr>
            <w:tcW w:w="6678" w:type="dxa"/>
          </w:tcPr>
          <w:p w14:paraId="680C1F01" w14:textId="1C64DD62" w:rsidR="00E313DB" w:rsidRPr="001A3268" w:rsidRDefault="00E313DB" w:rsidP="007D21D4">
            <w:pPr>
              <w:pStyle w:val="TableBody"/>
            </w:pPr>
            <w:r w:rsidRPr="00986B5F">
              <w:t>The NSW Threatened Species Priorities Action Statement (PAS) identifies strategies to help recover threatened plants and animals and establishes priorities to implement these strategies. The PAS identifies actions for all listed species, populations and ecological communities. It also identifies actions to manage listed key threatening processes.</w:t>
            </w:r>
          </w:p>
        </w:tc>
      </w:tr>
      <w:tr w:rsidR="001A3268" w:rsidRPr="00F06DBB" w14:paraId="5C166612" w14:textId="77777777" w:rsidTr="00712B14">
        <w:trPr>
          <w:trHeight w:val="340"/>
        </w:trPr>
        <w:tc>
          <w:tcPr>
            <w:tcW w:w="2361" w:type="dxa"/>
          </w:tcPr>
          <w:p w14:paraId="20A518CD" w14:textId="1B998DA4" w:rsidR="001A3268" w:rsidRPr="001A3268" w:rsidRDefault="001A3268" w:rsidP="00F71717">
            <w:pPr>
              <w:pStyle w:val="TableBody"/>
              <w:pageBreakBefore/>
            </w:pPr>
            <w:r w:rsidRPr="001A3268">
              <w:t>Key Threatening Processes</w:t>
            </w:r>
          </w:p>
        </w:tc>
        <w:tc>
          <w:tcPr>
            <w:tcW w:w="6678" w:type="dxa"/>
          </w:tcPr>
          <w:p w14:paraId="78B53DF2" w14:textId="2332A60A" w:rsidR="001A3268" w:rsidRPr="001A3268" w:rsidRDefault="001A3268" w:rsidP="007D21D4">
            <w:pPr>
              <w:pStyle w:val="TableBody"/>
            </w:pPr>
            <w:r w:rsidRPr="001A3268">
              <w:t>A threat can be listed under the TSC Act as a 'key threatening process' if it adversely affects threatened species, populations or ecological communities or if it could cause species, populations or ecological communities that are not threatened to become threatened. Key threatening processes are considered in an assessment of significance where a proponent considers whether a development constitutes or exacerbates a key threatening process.</w:t>
            </w:r>
          </w:p>
        </w:tc>
      </w:tr>
      <w:tr w:rsidR="001A3268" w:rsidRPr="00F06DBB" w14:paraId="6FC75D09" w14:textId="77777777" w:rsidTr="00712B14">
        <w:trPr>
          <w:trHeight w:val="340"/>
        </w:trPr>
        <w:tc>
          <w:tcPr>
            <w:tcW w:w="2361" w:type="dxa"/>
          </w:tcPr>
          <w:p w14:paraId="11FCCFAE" w14:textId="3B2302C5" w:rsidR="001A3268" w:rsidRPr="001A3268" w:rsidRDefault="001A3268" w:rsidP="007D21D4">
            <w:pPr>
              <w:pStyle w:val="TableBody"/>
            </w:pPr>
            <w:r w:rsidRPr="001A3268">
              <w:t>Threat Abatement Plans</w:t>
            </w:r>
          </w:p>
        </w:tc>
        <w:tc>
          <w:tcPr>
            <w:tcW w:w="6678" w:type="dxa"/>
          </w:tcPr>
          <w:p w14:paraId="2AB7FF3C" w14:textId="563E1B7D" w:rsidR="001A3268" w:rsidRPr="001A3268" w:rsidRDefault="001A3268" w:rsidP="007D21D4">
            <w:pPr>
              <w:pStyle w:val="TableBody"/>
            </w:pPr>
            <w:r w:rsidRPr="001A3268">
              <w:t>A threat abatement plan (TAP) is a statutory document prepared and approved in accordance with the TSC Act. Ministers and public authorities are required to take any appropriate action available to them to implement the measures in the plan. The terms of TAPs are to be taken into account by consent and determining authorities when they are considering development applications under the planning legislation.</w:t>
            </w:r>
          </w:p>
        </w:tc>
      </w:tr>
    </w:tbl>
    <w:p w14:paraId="0D0DDDB4" w14:textId="77777777" w:rsidR="001A3268" w:rsidRDefault="001A3268" w:rsidP="001A3268">
      <w:pPr>
        <w:pStyle w:val="BodyText"/>
      </w:pPr>
    </w:p>
    <w:p w14:paraId="6FF8D114" w14:textId="60109900" w:rsidR="0082235C" w:rsidRDefault="0082235C" w:rsidP="005613AC">
      <w:pPr>
        <w:pStyle w:val="Subheading"/>
      </w:pPr>
      <w:r>
        <w:t>Guidelines</w:t>
      </w:r>
      <w:r w:rsidR="00344B33">
        <w:t xml:space="preserve"> and strategies</w:t>
      </w:r>
    </w:p>
    <w:p w14:paraId="532021AA" w14:textId="19B2FD43" w:rsidR="007D21D4" w:rsidRDefault="00712B14" w:rsidP="007D21D4">
      <w:pPr>
        <w:pStyle w:val="BodyText"/>
      </w:pPr>
      <w:r w:rsidRPr="00712B14">
        <w:t xml:space="preserve">Several survey guidelines and strategies are relevant to the above legislation. Several of these, including survey and assessment guidelines, are required by the EP&amp;A Act to be taken into account when assessing impact upon threatened species, populations or ecological communities. These and other relevant guidelines and strategies are outlined in </w:t>
      </w:r>
      <w:r>
        <w:fldChar w:fldCharType="begin"/>
      </w:r>
      <w:r>
        <w:instrText xml:space="preserve"> REF _Ref400632414 \h </w:instrText>
      </w:r>
      <w:r>
        <w:fldChar w:fldCharType="separate"/>
      </w:r>
      <w:r w:rsidR="004E469D">
        <w:t xml:space="preserve">Table </w:t>
      </w:r>
      <w:r w:rsidR="004E469D">
        <w:rPr>
          <w:noProof/>
        </w:rPr>
        <w:t>2</w:t>
      </w:r>
      <w:r w:rsidR="004E469D">
        <w:t>.</w:t>
      </w:r>
      <w:r w:rsidR="004E469D">
        <w:rPr>
          <w:noProof/>
        </w:rPr>
        <w:t>4</w:t>
      </w:r>
      <w:r>
        <w:fldChar w:fldCharType="end"/>
      </w:r>
      <w:r w:rsidRPr="00712B14">
        <w:t>.</w:t>
      </w:r>
    </w:p>
    <w:p w14:paraId="49440FD4" w14:textId="6F085FFE" w:rsidR="007D21D4" w:rsidRDefault="007D21D4" w:rsidP="007D21D4">
      <w:pPr>
        <w:pStyle w:val="Caption"/>
        <w:keepNext/>
        <w:ind w:left="1134" w:hanging="1134"/>
      </w:pPr>
      <w:bookmarkStart w:id="25" w:name="_Ref400632414"/>
      <w:bookmarkStart w:id="26" w:name="_Toc402442837"/>
      <w:proofErr w:type="gramStart"/>
      <w:r>
        <w:t xml:space="preserve">Table </w:t>
      </w:r>
      <w:proofErr w:type="gramEnd"/>
      <w:r w:rsidR="001C525C">
        <w:fldChar w:fldCharType="begin"/>
      </w:r>
      <w:r w:rsidR="001C525C">
        <w:instrText xml:space="preserve"> STYLEREF 1 \s </w:instrText>
      </w:r>
      <w:r w:rsidR="001C525C">
        <w:fldChar w:fldCharType="separate"/>
      </w:r>
      <w:r w:rsidR="004E469D">
        <w:rPr>
          <w:noProof/>
        </w:rPr>
        <w:t>2</w:t>
      </w:r>
      <w:r w:rsidR="001C525C">
        <w:rPr>
          <w:noProof/>
        </w:rPr>
        <w:fldChar w:fldCharType="end"/>
      </w:r>
      <w:proofErr w:type="gramStart"/>
      <w:r w:rsidR="00EF76BA">
        <w:t>.</w:t>
      </w:r>
      <w:proofErr w:type="gramEnd"/>
      <w:r w:rsidR="001C525C">
        <w:fldChar w:fldCharType="begin"/>
      </w:r>
      <w:r w:rsidR="001C525C">
        <w:instrText xml:space="preserve"> SEQ Table \* ARABIC \s 1 </w:instrText>
      </w:r>
      <w:r w:rsidR="001C525C">
        <w:fldChar w:fldCharType="separate"/>
      </w:r>
      <w:r w:rsidR="004E469D">
        <w:rPr>
          <w:noProof/>
        </w:rPr>
        <w:t>4</w:t>
      </w:r>
      <w:r w:rsidR="001C525C">
        <w:rPr>
          <w:noProof/>
        </w:rPr>
        <w:fldChar w:fldCharType="end"/>
      </w:r>
      <w:bookmarkEnd w:id="25"/>
      <w:r>
        <w:tab/>
        <w:t>NSW guidelines and strategies related to biodiversity conservation</w:t>
      </w:r>
      <w:bookmarkEnd w:id="26"/>
    </w:p>
    <w:tbl>
      <w:tblPr>
        <w:tblStyle w:val="TableGrid"/>
        <w:tblW w:w="9280" w:type="dxa"/>
        <w:tblBorders>
          <w:bottom w:val="single" w:sz="4" w:space="0" w:color="auto"/>
        </w:tblBorders>
        <w:tblLook w:val="04A0" w:firstRow="1" w:lastRow="0" w:firstColumn="1" w:lastColumn="0" w:noHBand="0" w:noVBand="1"/>
        <w:tblCaption w:val="Table 2.4 NSW guidelines and strategies related to biodiversity conservation"/>
        <w:tblDescription w:val="Table 2.4 NSW guidelines and strategies related to biodiversity conservation"/>
      </w:tblPr>
      <w:tblGrid>
        <w:gridCol w:w="2235"/>
        <w:gridCol w:w="1275"/>
        <w:gridCol w:w="5770"/>
      </w:tblGrid>
      <w:tr w:rsidR="007A4848" w:rsidRPr="00806F5D" w14:paraId="3AC65746" w14:textId="77777777" w:rsidTr="00150F8F">
        <w:trPr>
          <w:trHeight w:val="340"/>
          <w:tblHeader/>
        </w:trPr>
        <w:tc>
          <w:tcPr>
            <w:tcW w:w="2235" w:type="dxa"/>
          </w:tcPr>
          <w:p w14:paraId="1F9E5B0C" w14:textId="2D21D33C" w:rsidR="007A4848" w:rsidRPr="007A4848" w:rsidRDefault="007A4848" w:rsidP="007A4848">
            <w:pPr>
              <w:pStyle w:val="TableHeader"/>
            </w:pPr>
            <w:r w:rsidRPr="007A4848">
              <w:t>Guideline</w:t>
            </w:r>
            <w:r w:rsidR="00344B33">
              <w:t>/Strategy</w:t>
            </w:r>
          </w:p>
        </w:tc>
        <w:tc>
          <w:tcPr>
            <w:tcW w:w="1275" w:type="dxa"/>
          </w:tcPr>
          <w:p w14:paraId="2F34884B" w14:textId="5125AF20" w:rsidR="007A4848" w:rsidRPr="007A4848" w:rsidRDefault="007A4848" w:rsidP="007A4848">
            <w:pPr>
              <w:pStyle w:val="TableHeader"/>
            </w:pPr>
            <w:r w:rsidRPr="007A4848">
              <w:t>Agency</w:t>
            </w:r>
          </w:p>
        </w:tc>
        <w:tc>
          <w:tcPr>
            <w:tcW w:w="5770" w:type="dxa"/>
          </w:tcPr>
          <w:p w14:paraId="1917A29E" w14:textId="5435CE34" w:rsidR="007A4848" w:rsidRPr="007A4848" w:rsidRDefault="007A4848" w:rsidP="007A4848">
            <w:pPr>
              <w:pStyle w:val="TableHeader"/>
            </w:pPr>
            <w:r w:rsidRPr="007A4848">
              <w:t>Comment</w:t>
            </w:r>
          </w:p>
        </w:tc>
      </w:tr>
      <w:tr w:rsidR="007A4848" w:rsidRPr="00F06DBB" w14:paraId="42A61ED3" w14:textId="77777777" w:rsidTr="007D21D4">
        <w:trPr>
          <w:trHeight w:val="340"/>
        </w:trPr>
        <w:tc>
          <w:tcPr>
            <w:tcW w:w="2235" w:type="dxa"/>
          </w:tcPr>
          <w:p w14:paraId="660EE408" w14:textId="0F947EBB" w:rsidR="007A4848" w:rsidRPr="00F06DBB" w:rsidRDefault="00344B33" w:rsidP="007A4848">
            <w:pPr>
              <w:pStyle w:val="TableBody"/>
            </w:pPr>
            <w:r w:rsidRPr="00344B33">
              <w:t>Threatened Species Survey and Assessment Guidelines</w:t>
            </w:r>
          </w:p>
        </w:tc>
        <w:tc>
          <w:tcPr>
            <w:tcW w:w="1275" w:type="dxa"/>
          </w:tcPr>
          <w:p w14:paraId="54F2D6E8" w14:textId="1445C63C" w:rsidR="007A4848" w:rsidRPr="00F06DBB" w:rsidRDefault="00344B33" w:rsidP="007A4848">
            <w:pPr>
              <w:pStyle w:val="TableBody"/>
            </w:pPr>
            <w:r>
              <w:t>OEH</w:t>
            </w:r>
          </w:p>
        </w:tc>
        <w:tc>
          <w:tcPr>
            <w:tcW w:w="5770" w:type="dxa"/>
          </w:tcPr>
          <w:p w14:paraId="47DE719E" w14:textId="2D6FB6B6" w:rsidR="008547EF" w:rsidRDefault="008547EF" w:rsidP="008547EF">
            <w:pPr>
              <w:pStyle w:val="TableBody"/>
            </w:pPr>
            <w:r>
              <w:t>The Guidelines aim to provide a consistent and systematic approach to survey and assessment of threatened biodiversity. In particular, the guidance provide</w:t>
            </w:r>
            <w:r w:rsidR="00273E7D">
              <w:t>s</w:t>
            </w:r>
            <w:r>
              <w:t xml:space="preserve"> assist</w:t>
            </w:r>
            <w:r w:rsidR="00273E7D">
              <w:t>ance</w:t>
            </w:r>
            <w:r>
              <w:t xml:space="preserve"> in:</w:t>
            </w:r>
          </w:p>
          <w:p w14:paraId="3BB99A4F" w14:textId="0D4B5E3D" w:rsidR="008547EF" w:rsidRDefault="008547EF" w:rsidP="008547EF">
            <w:pPr>
              <w:pStyle w:val="Bullets-TechSpecs"/>
            </w:pPr>
            <w:r>
              <w:t>setting appropriate aims for survey and assessment of threatened biodiversity;</w:t>
            </w:r>
          </w:p>
          <w:p w14:paraId="5A618F5B" w14:textId="66016E5A" w:rsidR="008547EF" w:rsidRDefault="008547EF" w:rsidP="008547EF">
            <w:pPr>
              <w:pStyle w:val="Bullets-TechSpecs"/>
            </w:pPr>
            <w:r>
              <w:t>the planning of suitable survey techniques and the appropriate level of effort;</w:t>
            </w:r>
          </w:p>
          <w:p w14:paraId="6BC57AE9" w14:textId="15DCDDA6" w:rsidR="008547EF" w:rsidRDefault="008547EF" w:rsidP="008547EF">
            <w:pPr>
              <w:pStyle w:val="Bullets-TechSpecs"/>
            </w:pPr>
            <w:r>
              <w:t>the provision of adequate reporting;</w:t>
            </w:r>
          </w:p>
          <w:p w14:paraId="12092938" w14:textId="297D6796" w:rsidR="008547EF" w:rsidRDefault="008547EF" w:rsidP="008547EF">
            <w:pPr>
              <w:pStyle w:val="Bullets-TechSpecs"/>
            </w:pPr>
            <w:r>
              <w:t>a justifiable interpretation of results; and</w:t>
            </w:r>
          </w:p>
          <w:p w14:paraId="644EEB4F" w14:textId="356C829F" w:rsidR="007A4848" w:rsidRPr="00F06DBB" w:rsidRDefault="008547EF" w:rsidP="008547EF">
            <w:pPr>
              <w:pStyle w:val="Bullets-TechSpecs"/>
            </w:pPr>
            <w:proofErr w:type="gramStart"/>
            <w:r>
              <w:t>making</w:t>
            </w:r>
            <w:proofErr w:type="gramEnd"/>
            <w:r>
              <w:t xml:space="preserve"> an informed and justifiable decision.</w:t>
            </w:r>
          </w:p>
        </w:tc>
      </w:tr>
      <w:tr w:rsidR="007A4848" w:rsidRPr="00F06DBB" w14:paraId="471D42BC" w14:textId="77777777" w:rsidTr="007D21D4">
        <w:trPr>
          <w:trHeight w:val="340"/>
        </w:trPr>
        <w:tc>
          <w:tcPr>
            <w:tcW w:w="2235" w:type="dxa"/>
          </w:tcPr>
          <w:p w14:paraId="79F9586B" w14:textId="1F2187F5" w:rsidR="007A4848" w:rsidRDefault="008547EF" w:rsidP="008547EF">
            <w:pPr>
              <w:pStyle w:val="TableBody"/>
            </w:pPr>
            <w:r w:rsidRPr="008547EF">
              <w:t>Species</w:t>
            </w:r>
            <w:r>
              <w:t>-s</w:t>
            </w:r>
            <w:r w:rsidRPr="008547EF">
              <w:t xml:space="preserve">pecific </w:t>
            </w:r>
            <w:r>
              <w:t>i</w:t>
            </w:r>
            <w:r w:rsidRPr="008547EF">
              <w:t xml:space="preserve">mpact </w:t>
            </w:r>
            <w:r>
              <w:t>a</w:t>
            </w:r>
            <w:r w:rsidRPr="008547EF">
              <w:t xml:space="preserve">ssessment </w:t>
            </w:r>
            <w:r>
              <w:t>g</w:t>
            </w:r>
            <w:r w:rsidRPr="008547EF">
              <w:t>uidelines</w:t>
            </w:r>
          </w:p>
        </w:tc>
        <w:tc>
          <w:tcPr>
            <w:tcW w:w="1275" w:type="dxa"/>
          </w:tcPr>
          <w:p w14:paraId="34260428" w14:textId="7A832595" w:rsidR="007A4848" w:rsidRPr="00F06DBB" w:rsidRDefault="00344B33" w:rsidP="007A4848">
            <w:pPr>
              <w:pStyle w:val="TableBody"/>
            </w:pPr>
            <w:r>
              <w:t>OEH</w:t>
            </w:r>
          </w:p>
        </w:tc>
        <w:tc>
          <w:tcPr>
            <w:tcW w:w="5770" w:type="dxa"/>
          </w:tcPr>
          <w:p w14:paraId="52362D25" w14:textId="7AFF0D70" w:rsidR="008547EF" w:rsidRDefault="008547EF" w:rsidP="008547EF">
            <w:pPr>
              <w:pStyle w:val="TableBody"/>
            </w:pPr>
            <w:r>
              <w:t>Environ</w:t>
            </w:r>
            <w:r w:rsidR="00E8398B">
              <w:t>mental Impact Assessment (EIA) g</w:t>
            </w:r>
            <w:r>
              <w:t>uidelines have been prepared for the following species, populations and ecological communities that are known or have potential habitat in the study area. The guidelines include species</w:t>
            </w:r>
            <w:r w:rsidR="00E8398B">
              <w:t>-</w:t>
            </w:r>
            <w:r w:rsidR="00E313DB">
              <w:t>specific survey requirements for the following flora and fauna:</w:t>
            </w:r>
          </w:p>
          <w:p w14:paraId="036ECB06" w14:textId="7648057E" w:rsidR="008547EF" w:rsidRPr="008547EF" w:rsidRDefault="008547EF" w:rsidP="008547EF">
            <w:pPr>
              <w:pStyle w:val="Bullets-TechSpecs"/>
              <w:rPr>
                <w:i/>
              </w:rPr>
            </w:pPr>
            <w:proofErr w:type="spellStart"/>
            <w:r w:rsidRPr="008547EF">
              <w:rPr>
                <w:i/>
              </w:rPr>
              <w:t>Cynanchum</w:t>
            </w:r>
            <w:proofErr w:type="spellEnd"/>
            <w:r w:rsidRPr="008547EF">
              <w:rPr>
                <w:i/>
              </w:rPr>
              <w:t xml:space="preserve"> </w:t>
            </w:r>
            <w:proofErr w:type="spellStart"/>
            <w:r w:rsidRPr="008547EF">
              <w:rPr>
                <w:i/>
              </w:rPr>
              <w:t>elegans</w:t>
            </w:r>
            <w:proofErr w:type="spellEnd"/>
          </w:p>
          <w:p w14:paraId="4C6F4BD8" w14:textId="74FA031E" w:rsidR="008547EF" w:rsidRPr="008547EF" w:rsidRDefault="008547EF" w:rsidP="008547EF">
            <w:pPr>
              <w:pStyle w:val="Bullets-TechSpecs"/>
              <w:rPr>
                <w:i/>
              </w:rPr>
            </w:pPr>
            <w:r w:rsidRPr="008547EF">
              <w:rPr>
                <w:i/>
              </w:rPr>
              <w:t xml:space="preserve">Dillwynia </w:t>
            </w:r>
            <w:proofErr w:type="spellStart"/>
            <w:r w:rsidRPr="008547EF">
              <w:rPr>
                <w:i/>
              </w:rPr>
              <w:t>tenuifolia</w:t>
            </w:r>
            <w:proofErr w:type="spellEnd"/>
          </w:p>
          <w:p w14:paraId="64BD6CD1" w14:textId="32535A6C" w:rsidR="008547EF" w:rsidRPr="008547EF" w:rsidRDefault="008547EF" w:rsidP="008547EF">
            <w:pPr>
              <w:pStyle w:val="Bullets-TechSpecs"/>
              <w:rPr>
                <w:i/>
              </w:rPr>
            </w:pPr>
            <w:proofErr w:type="spellStart"/>
            <w:r w:rsidRPr="008547EF">
              <w:rPr>
                <w:i/>
              </w:rPr>
              <w:t>Pultenaea</w:t>
            </w:r>
            <w:proofErr w:type="spellEnd"/>
            <w:r w:rsidRPr="008547EF">
              <w:rPr>
                <w:i/>
              </w:rPr>
              <w:t xml:space="preserve"> </w:t>
            </w:r>
            <w:proofErr w:type="spellStart"/>
            <w:r w:rsidRPr="008547EF">
              <w:rPr>
                <w:i/>
              </w:rPr>
              <w:t>parviflora</w:t>
            </w:r>
            <w:proofErr w:type="spellEnd"/>
          </w:p>
          <w:p w14:paraId="5204757A" w14:textId="7357A1CB" w:rsidR="008547EF" w:rsidRPr="008547EF" w:rsidRDefault="008547EF" w:rsidP="008547EF">
            <w:pPr>
              <w:pStyle w:val="Bullets-TechSpecs"/>
              <w:rPr>
                <w:i/>
              </w:rPr>
            </w:pPr>
            <w:r w:rsidRPr="008547EF">
              <w:rPr>
                <w:i/>
              </w:rPr>
              <w:t xml:space="preserve">Acacia </w:t>
            </w:r>
            <w:proofErr w:type="spellStart"/>
            <w:r w:rsidRPr="008547EF">
              <w:rPr>
                <w:i/>
              </w:rPr>
              <w:t>pubescens</w:t>
            </w:r>
            <w:proofErr w:type="spellEnd"/>
          </w:p>
          <w:p w14:paraId="101BA436" w14:textId="490B4BE9" w:rsidR="008547EF" w:rsidRPr="008547EF" w:rsidRDefault="008547EF" w:rsidP="008547EF">
            <w:pPr>
              <w:pStyle w:val="Bullets-TechSpecs"/>
              <w:rPr>
                <w:i/>
              </w:rPr>
            </w:pPr>
            <w:r w:rsidRPr="008547EF">
              <w:rPr>
                <w:i/>
              </w:rPr>
              <w:t xml:space="preserve">Eucalyptus </w:t>
            </w:r>
            <w:proofErr w:type="spellStart"/>
            <w:r w:rsidRPr="008547EF">
              <w:rPr>
                <w:i/>
              </w:rPr>
              <w:t>benthamii</w:t>
            </w:r>
            <w:proofErr w:type="spellEnd"/>
          </w:p>
          <w:p w14:paraId="0F776BC2" w14:textId="38D9D1B1" w:rsidR="008547EF" w:rsidRPr="008547EF" w:rsidRDefault="008547EF" w:rsidP="008547EF">
            <w:pPr>
              <w:pStyle w:val="Bullets-TechSpecs"/>
              <w:rPr>
                <w:i/>
              </w:rPr>
            </w:pPr>
            <w:r w:rsidRPr="008547EF">
              <w:rPr>
                <w:i/>
              </w:rPr>
              <w:t xml:space="preserve">Grevillea </w:t>
            </w:r>
            <w:proofErr w:type="spellStart"/>
            <w:r w:rsidRPr="008547EF">
              <w:rPr>
                <w:i/>
              </w:rPr>
              <w:t>juniperina</w:t>
            </w:r>
            <w:proofErr w:type="spellEnd"/>
          </w:p>
          <w:p w14:paraId="736DB788" w14:textId="31EF4FE1" w:rsidR="008547EF" w:rsidRPr="008547EF" w:rsidRDefault="008547EF" w:rsidP="008547EF">
            <w:pPr>
              <w:pStyle w:val="Bullets-TechSpecs"/>
              <w:rPr>
                <w:i/>
              </w:rPr>
            </w:pPr>
            <w:r w:rsidRPr="008547EF">
              <w:rPr>
                <w:i/>
              </w:rPr>
              <w:t xml:space="preserve">Grevillea </w:t>
            </w:r>
            <w:proofErr w:type="spellStart"/>
            <w:r w:rsidRPr="008547EF">
              <w:rPr>
                <w:i/>
              </w:rPr>
              <w:t>parviflora</w:t>
            </w:r>
            <w:proofErr w:type="spellEnd"/>
          </w:p>
          <w:p w14:paraId="5326D63D" w14:textId="38588D1A" w:rsidR="008547EF" w:rsidRPr="008547EF" w:rsidRDefault="008547EF" w:rsidP="008547EF">
            <w:pPr>
              <w:pStyle w:val="Bullets-TechSpecs"/>
              <w:rPr>
                <w:i/>
              </w:rPr>
            </w:pPr>
            <w:proofErr w:type="spellStart"/>
            <w:r w:rsidRPr="008547EF">
              <w:rPr>
                <w:i/>
              </w:rPr>
              <w:t>Persoonia</w:t>
            </w:r>
            <w:proofErr w:type="spellEnd"/>
            <w:r w:rsidRPr="008547EF">
              <w:rPr>
                <w:i/>
              </w:rPr>
              <w:t xml:space="preserve"> </w:t>
            </w:r>
            <w:proofErr w:type="spellStart"/>
            <w:r w:rsidRPr="008547EF">
              <w:rPr>
                <w:i/>
              </w:rPr>
              <w:t>nutans</w:t>
            </w:r>
            <w:proofErr w:type="spellEnd"/>
          </w:p>
          <w:p w14:paraId="13F5C957" w14:textId="3B918C6D" w:rsidR="008547EF" w:rsidRPr="008547EF" w:rsidRDefault="008547EF" w:rsidP="008547EF">
            <w:pPr>
              <w:pStyle w:val="Bullets-TechSpecs"/>
              <w:rPr>
                <w:i/>
              </w:rPr>
            </w:pPr>
            <w:proofErr w:type="spellStart"/>
            <w:r w:rsidRPr="008547EF">
              <w:rPr>
                <w:i/>
              </w:rPr>
              <w:t>Pimelea</w:t>
            </w:r>
            <w:proofErr w:type="spellEnd"/>
            <w:r w:rsidRPr="008547EF">
              <w:rPr>
                <w:i/>
              </w:rPr>
              <w:t xml:space="preserve"> </w:t>
            </w:r>
            <w:proofErr w:type="spellStart"/>
            <w:r w:rsidRPr="008547EF">
              <w:rPr>
                <w:i/>
              </w:rPr>
              <w:t>spicata</w:t>
            </w:r>
            <w:proofErr w:type="spellEnd"/>
          </w:p>
          <w:p w14:paraId="5739C6A7" w14:textId="781AF06F" w:rsidR="008547EF" w:rsidRDefault="008547EF" w:rsidP="008547EF">
            <w:pPr>
              <w:pStyle w:val="Bullets-TechSpecs"/>
            </w:pPr>
            <w:r>
              <w:t>Green and Golden Bell Frog</w:t>
            </w:r>
          </w:p>
          <w:p w14:paraId="5E86C969" w14:textId="18D792C8" w:rsidR="008547EF" w:rsidRDefault="008547EF" w:rsidP="008547EF">
            <w:pPr>
              <w:pStyle w:val="Bullets-TechSpecs"/>
            </w:pPr>
            <w:r>
              <w:t>Cumberland Land Snail</w:t>
            </w:r>
          </w:p>
          <w:p w14:paraId="73E9ABB1" w14:textId="77777777" w:rsidR="008547EF" w:rsidRDefault="008547EF" w:rsidP="008547EF">
            <w:pPr>
              <w:pStyle w:val="TableBody"/>
            </w:pPr>
            <w:r>
              <w:t>The following best practice guidelines are also available for management:</w:t>
            </w:r>
          </w:p>
          <w:p w14:paraId="666C8A61" w14:textId="66DDD43C" w:rsidR="008547EF" w:rsidRDefault="008547EF" w:rsidP="008547EF">
            <w:pPr>
              <w:pStyle w:val="Bullets-TechSpecs"/>
            </w:pPr>
            <w:r>
              <w:t>Recovering Bushland on the Cumberland Plain Best Practice Guidelines.</w:t>
            </w:r>
          </w:p>
          <w:p w14:paraId="6DC203EB" w14:textId="68DB4949" w:rsidR="007A4848" w:rsidRPr="00F06DBB" w:rsidRDefault="008547EF" w:rsidP="008547EF">
            <w:pPr>
              <w:pStyle w:val="Bullets-TechSpecs"/>
            </w:pPr>
            <w:r>
              <w:t>Best Practice Guidelines for the Grey-headed Flying-fox.</w:t>
            </w:r>
          </w:p>
        </w:tc>
      </w:tr>
      <w:tr w:rsidR="007A4848" w:rsidRPr="00F06DBB" w14:paraId="528817CD" w14:textId="77777777" w:rsidTr="007D21D4">
        <w:trPr>
          <w:trHeight w:val="340"/>
        </w:trPr>
        <w:tc>
          <w:tcPr>
            <w:tcW w:w="2235" w:type="dxa"/>
          </w:tcPr>
          <w:p w14:paraId="74D6235A" w14:textId="7B7D44A3" w:rsidR="007A4848" w:rsidRDefault="00C12F95" w:rsidP="007A4848">
            <w:pPr>
              <w:pStyle w:val="TableBody"/>
            </w:pPr>
            <w:r w:rsidRPr="00C12F95">
              <w:t>NSW (draft) Biodiversity Strategy (2010-2015)</w:t>
            </w:r>
          </w:p>
        </w:tc>
        <w:tc>
          <w:tcPr>
            <w:tcW w:w="1275" w:type="dxa"/>
          </w:tcPr>
          <w:p w14:paraId="387DE778" w14:textId="0FBF089F" w:rsidR="007A4848" w:rsidRPr="00F06DBB" w:rsidRDefault="00C12F95" w:rsidP="007A4848">
            <w:pPr>
              <w:pStyle w:val="TableBody"/>
            </w:pPr>
            <w:r>
              <w:t>OEH</w:t>
            </w:r>
          </w:p>
        </w:tc>
        <w:tc>
          <w:tcPr>
            <w:tcW w:w="5770" w:type="dxa"/>
          </w:tcPr>
          <w:p w14:paraId="560AFDD0" w14:textId="116A7088" w:rsidR="00C12F95" w:rsidRDefault="00C12F95" w:rsidP="00C12F95">
            <w:pPr>
              <w:pStyle w:val="TableBody"/>
            </w:pPr>
            <w:r>
              <w:t>Identifies key themes and measurable targets that will contribute to building ecosystems</w:t>
            </w:r>
            <w:r w:rsidR="00986B5F">
              <w:t xml:space="preserve"> that are healthy and resilient:</w:t>
            </w:r>
          </w:p>
          <w:p w14:paraId="7EB7EC3A" w14:textId="57C2F473" w:rsidR="00C12F95" w:rsidRDefault="00C12F95" w:rsidP="00986B5F">
            <w:pPr>
              <w:pStyle w:val="Bullets-TechSpecs"/>
            </w:pPr>
            <w:r>
              <w:t>Smarter Biodiversity Investment.</w:t>
            </w:r>
          </w:p>
          <w:p w14:paraId="70EE5AD6" w14:textId="4D51C07C" w:rsidR="00C12F95" w:rsidRDefault="00C12F95" w:rsidP="00986B5F">
            <w:pPr>
              <w:pStyle w:val="Bullets-TechSpecs"/>
            </w:pPr>
            <w:r>
              <w:t>Whole of Landscape Planning.</w:t>
            </w:r>
          </w:p>
          <w:p w14:paraId="031FC7FF" w14:textId="71983838" w:rsidR="00C12F95" w:rsidRDefault="00C12F95" w:rsidP="00986B5F">
            <w:pPr>
              <w:pStyle w:val="Bullets-TechSpecs"/>
            </w:pPr>
            <w:r>
              <w:t>Improved Partnerships.</w:t>
            </w:r>
          </w:p>
          <w:p w14:paraId="754825AD" w14:textId="756ABD55" w:rsidR="00C12F95" w:rsidRDefault="00C12F95" w:rsidP="00986B5F">
            <w:pPr>
              <w:pStyle w:val="Bullets-TechSpecs"/>
            </w:pPr>
            <w:r>
              <w:t>Effectively Managing Threats.</w:t>
            </w:r>
          </w:p>
          <w:p w14:paraId="56172F8D" w14:textId="44F79A96" w:rsidR="007A4848" w:rsidRPr="00F06DBB" w:rsidRDefault="00C12F95" w:rsidP="00986B5F">
            <w:pPr>
              <w:pStyle w:val="Bullets-TechSpecs"/>
            </w:pPr>
            <w:r>
              <w:t>Sustainable Production Environments.</w:t>
            </w:r>
          </w:p>
        </w:tc>
      </w:tr>
      <w:tr w:rsidR="00C12F95" w:rsidRPr="00F06DBB" w14:paraId="63CCAB7A" w14:textId="77777777" w:rsidTr="007D21D4">
        <w:trPr>
          <w:trHeight w:val="340"/>
        </w:trPr>
        <w:tc>
          <w:tcPr>
            <w:tcW w:w="2235" w:type="dxa"/>
          </w:tcPr>
          <w:p w14:paraId="0C20DE11" w14:textId="0F56E92F" w:rsidR="00C12F95" w:rsidRPr="00C12F95" w:rsidRDefault="00C12F95" w:rsidP="007A4848">
            <w:pPr>
              <w:pStyle w:val="TableBody"/>
            </w:pPr>
            <w:r w:rsidRPr="00C12F95">
              <w:t>NSW Biodiversity Offset Policy for Major Projects (2014)</w:t>
            </w:r>
          </w:p>
        </w:tc>
        <w:tc>
          <w:tcPr>
            <w:tcW w:w="1275" w:type="dxa"/>
          </w:tcPr>
          <w:p w14:paraId="63F3E75F" w14:textId="143C686C" w:rsidR="00C12F95" w:rsidRDefault="00C12F95" w:rsidP="007A4848">
            <w:pPr>
              <w:pStyle w:val="TableBody"/>
            </w:pPr>
            <w:r>
              <w:t>OEH</w:t>
            </w:r>
          </w:p>
        </w:tc>
        <w:tc>
          <w:tcPr>
            <w:tcW w:w="5770" w:type="dxa"/>
          </w:tcPr>
          <w:p w14:paraId="3E216D3D" w14:textId="77777777" w:rsidR="00C12F95" w:rsidRDefault="00C12F95" w:rsidP="00C12F95">
            <w:pPr>
              <w:pStyle w:val="TableBody"/>
            </w:pPr>
            <w:r>
              <w:t>The NSW Biodiversity Offset Policy for Major Projects clarifies, standardises and improves biodiversity offsetting for major project approvals. The policy applies to state significant development and state significant infrastructure under the EP&amp;A Act.</w:t>
            </w:r>
          </w:p>
          <w:p w14:paraId="2368974D" w14:textId="77777777" w:rsidR="00C12F95" w:rsidRDefault="00C12F95" w:rsidP="00C12F95">
            <w:pPr>
              <w:pStyle w:val="TableBody"/>
            </w:pPr>
            <w:r>
              <w:t>The policy aims to strike an effective balance between the needs of proponents, communities and the environment by:</w:t>
            </w:r>
          </w:p>
          <w:p w14:paraId="7E812C27" w14:textId="59BFDFEB" w:rsidR="00C12F95" w:rsidRDefault="00C12F95" w:rsidP="00986B5F">
            <w:pPr>
              <w:pStyle w:val="Bullets-TechSpecs"/>
            </w:pPr>
            <w:r>
              <w:t>providing clear, efficient and certain guidance for stake</w:t>
            </w:r>
            <w:r w:rsidR="00986B5F">
              <w:t>holders</w:t>
            </w:r>
          </w:p>
          <w:p w14:paraId="3C87C370" w14:textId="0921326E" w:rsidR="00C12F95" w:rsidRDefault="00986B5F" w:rsidP="00986B5F">
            <w:pPr>
              <w:pStyle w:val="Bullets-TechSpecs"/>
            </w:pPr>
            <w:r>
              <w:t>i</w:t>
            </w:r>
            <w:r w:rsidR="00C12F95">
              <w:t xml:space="preserve">mproving outcomes for the </w:t>
            </w:r>
            <w:r>
              <w:t>environment and communities</w:t>
            </w:r>
          </w:p>
          <w:p w14:paraId="3F616F7D" w14:textId="43222114" w:rsidR="00C12F95" w:rsidRDefault="00C12F95" w:rsidP="00986B5F">
            <w:pPr>
              <w:pStyle w:val="Bullets-TechSpecs"/>
            </w:pPr>
            <w:proofErr w:type="gramStart"/>
            <w:r>
              <w:t>providing</w:t>
            </w:r>
            <w:proofErr w:type="gramEnd"/>
            <w:r>
              <w:t xml:space="preserve"> a practical and achievable offset scheme for proponents.</w:t>
            </w:r>
          </w:p>
          <w:p w14:paraId="17FED30C" w14:textId="77777777" w:rsidR="00C12F95" w:rsidRDefault="00C12F95" w:rsidP="00C12F95">
            <w:pPr>
              <w:pStyle w:val="TableBody"/>
            </w:pPr>
            <w:r>
              <w:t>The policy is underpinned by the Framework for Biodiversity Assessment. The FBA sets out the process for:</w:t>
            </w:r>
          </w:p>
          <w:p w14:paraId="25F33586" w14:textId="68EAC1CE" w:rsidR="00C12F95" w:rsidRDefault="00C12F95" w:rsidP="00986B5F">
            <w:pPr>
              <w:pStyle w:val="Bullets-TechSpecs"/>
            </w:pPr>
            <w:r>
              <w:t xml:space="preserve">assessing biodiversity impacts on </w:t>
            </w:r>
            <w:r w:rsidR="00986B5F">
              <w:t>a proposed development site</w:t>
            </w:r>
          </w:p>
          <w:p w14:paraId="1F00265E" w14:textId="2C7B3383" w:rsidR="00C12F95" w:rsidRDefault="00C12F95" w:rsidP="00986B5F">
            <w:pPr>
              <w:pStyle w:val="Bullets-TechSpecs"/>
            </w:pPr>
            <w:proofErr w:type="gramStart"/>
            <w:r>
              <w:t>determining</w:t>
            </w:r>
            <w:proofErr w:type="gramEnd"/>
            <w:r>
              <w:t xml:space="preserve"> the biodiversity offset requirements for those impacts.</w:t>
            </w:r>
          </w:p>
        </w:tc>
      </w:tr>
      <w:tr w:rsidR="00C12F95" w:rsidRPr="00F06DBB" w14:paraId="4EA6F44A" w14:textId="77777777" w:rsidTr="007D21D4">
        <w:trPr>
          <w:trHeight w:val="340"/>
        </w:trPr>
        <w:tc>
          <w:tcPr>
            <w:tcW w:w="2235" w:type="dxa"/>
          </w:tcPr>
          <w:p w14:paraId="2801B4AD" w14:textId="6A04AF99" w:rsidR="00C12F95" w:rsidRPr="00C12F95" w:rsidRDefault="00C12F95" w:rsidP="007A4848">
            <w:pPr>
              <w:pStyle w:val="TableBody"/>
            </w:pPr>
            <w:r w:rsidRPr="00C12F95">
              <w:t>Draft Metropolitan Strategy (2013)</w:t>
            </w:r>
          </w:p>
        </w:tc>
        <w:tc>
          <w:tcPr>
            <w:tcW w:w="1275" w:type="dxa"/>
          </w:tcPr>
          <w:p w14:paraId="647D219E" w14:textId="50D17FE2" w:rsidR="00C12F95" w:rsidRDefault="00C12F95" w:rsidP="007A4848">
            <w:pPr>
              <w:pStyle w:val="TableBody"/>
            </w:pPr>
            <w:r>
              <w:t>DP&amp;E</w:t>
            </w:r>
          </w:p>
        </w:tc>
        <w:tc>
          <w:tcPr>
            <w:tcW w:w="5770" w:type="dxa"/>
          </w:tcPr>
          <w:p w14:paraId="2F7FA342" w14:textId="5D736CA3" w:rsidR="00C12F95" w:rsidRDefault="00C12F95" w:rsidP="00C12F95">
            <w:pPr>
              <w:pStyle w:val="TableBody"/>
            </w:pPr>
            <w:r w:rsidRPr="00C12F95">
              <w:t>A plan to guide Sydney’s growth as well as protect and improve biodiversity as the city grows. Policy objectives include objectives to address biodiversity protection and enhancement.</w:t>
            </w:r>
          </w:p>
        </w:tc>
      </w:tr>
      <w:tr w:rsidR="00C12F95" w:rsidRPr="00F06DBB" w14:paraId="4794EE61" w14:textId="77777777" w:rsidTr="007D21D4">
        <w:trPr>
          <w:trHeight w:val="340"/>
        </w:trPr>
        <w:tc>
          <w:tcPr>
            <w:tcW w:w="2235" w:type="dxa"/>
          </w:tcPr>
          <w:p w14:paraId="4320E6B5" w14:textId="6005FE92" w:rsidR="00C12F95" w:rsidRPr="00C12F95" w:rsidRDefault="00C12F95" w:rsidP="007A4848">
            <w:pPr>
              <w:pStyle w:val="TableBody"/>
            </w:pPr>
            <w:r w:rsidRPr="00C12F95">
              <w:t>Liverpool Biodiversity Management Plan (2012)</w:t>
            </w:r>
          </w:p>
        </w:tc>
        <w:tc>
          <w:tcPr>
            <w:tcW w:w="1275" w:type="dxa"/>
          </w:tcPr>
          <w:p w14:paraId="603F9321" w14:textId="4929E787" w:rsidR="00C12F95" w:rsidRDefault="00C12F95" w:rsidP="007A4848">
            <w:pPr>
              <w:pStyle w:val="TableBody"/>
            </w:pPr>
            <w:r w:rsidRPr="00C12F95">
              <w:t>Liverpool City Council</w:t>
            </w:r>
          </w:p>
        </w:tc>
        <w:tc>
          <w:tcPr>
            <w:tcW w:w="5770" w:type="dxa"/>
          </w:tcPr>
          <w:p w14:paraId="1AF59DE3" w14:textId="77777777" w:rsidR="00C12F95" w:rsidRDefault="00C12F95" w:rsidP="00C12F95">
            <w:pPr>
              <w:pStyle w:val="TableBody"/>
            </w:pPr>
            <w:r>
              <w:t>Provides an implementation framework for the protection and management of biodiversity at the local, and where relevant, regional scale. This Plan is concerned with the conservation and management of native plants and animals, genetic variations, ecosystems and ecological processes which occur within, or are dependent upon, the Liverpool LGA.</w:t>
            </w:r>
          </w:p>
          <w:p w14:paraId="01FC4FFB" w14:textId="5BB6DEC3" w:rsidR="00C12F95" w:rsidRPr="00C12F95" w:rsidRDefault="00C12F95" w:rsidP="00C12F95">
            <w:pPr>
              <w:pStyle w:val="TableBody"/>
            </w:pPr>
            <w:r>
              <w:t>The BMP discusses the distribution of endangered ecological communities across the LGA and sets targets for their protection. It also maps regional connectivity (or corridors) across the LGA.</w:t>
            </w:r>
          </w:p>
        </w:tc>
      </w:tr>
      <w:tr w:rsidR="00C12F95" w:rsidRPr="00F06DBB" w14:paraId="09573793" w14:textId="77777777" w:rsidTr="007D21D4">
        <w:trPr>
          <w:trHeight w:val="340"/>
        </w:trPr>
        <w:tc>
          <w:tcPr>
            <w:tcW w:w="2235" w:type="dxa"/>
          </w:tcPr>
          <w:p w14:paraId="04D79F51" w14:textId="144F0EB0" w:rsidR="00C12F95" w:rsidRPr="00C12F95" w:rsidRDefault="00C12F95" w:rsidP="007A4848">
            <w:pPr>
              <w:pStyle w:val="TableBody"/>
            </w:pPr>
            <w:r w:rsidRPr="00C12F95">
              <w:t>Greater Sydney Local Land Services Strategic Plan</w:t>
            </w:r>
          </w:p>
        </w:tc>
        <w:tc>
          <w:tcPr>
            <w:tcW w:w="1275" w:type="dxa"/>
          </w:tcPr>
          <w:p w14:paraId="5F0794E1" w14:textId="74B55172" w:rsidR="00C12F95" w:rsidRPr="00C12F95" w:rsidRDefault="001A3268" w:rsidP="007A4848">
            <w:pPr>
              <w:pStyle w:val="TableBody"/>
            </w:pPr>
            <w:r>
              <w:t>Greater Sydney LLS</w:t>
            </w:r>
          </w:p>
        </w:tc>
        <w:tc>
          <w:tcPr>
            <w:tcW w:w="5770" w:type="dxa"/>
          </w:tcPr>
          <w:p w14:paraId="40E76D41" w14:textId="6C46E0F4" w:rsidR="00C12F95" w:rsidRDefault="004C4398" w:rsidP="004C4398">
            <w:pPr>
              <w:pStyle w:val="TableBody"/>
            </w:pPr>
            <w:r>
              <w:t xml:space="preserve">The </w:t>
            </w:r>
            <w:r w:rsidRPr="004C4398">
              <w:rPr>
                <w:i/>
              </w:rPr>
              <w:t>Local Land Service Act 2013</w:t>
            </w:r>
            <w:r>
              <w:t xml:space="preserve"> requires the development of regional strategies to inform the deployment of local land services through resources and creation of partnerships across the regions. The plan sets the vision, priorities and strategy for the delivery of local land services in the Greater Sydney region, with a focus on appropriate economic, social and environmental outcomes.</w:t>
            </w:r>
          </w:p>
        </w:tc>
      </w:tr>
    </w:tbl>
    <w:p w14:paraId="528BC2CC" w14:textId="77777777" w:rsidR="0082235C" w:rsidRDefault="0082235C" w:rsidP="00510CF5">
      <w:pPr>
        <w:pStyle w:val="BodyText"/>
      </w:pPr>
    </w:p>
    <w:p w14:paraId="5AEC3336" w14:textId="77777777" w:rsidR="00382766" w:rsidRDefault="00382766" w:rsidP="00382766">
      <w:pPr>
        <w:pStyle w:val="Heading2"/>
      </w:pPr>
      <w:bookmarkStart w:id="27" w:name="_Toc400720074"/>
      <w:r>
        <w:t>Survey methodology</w:t>
      </w:r>
      <w:bookmarkEnd w:id="27"/>
    </w:p>
    <w:p w14:paraId="42C61BCC" w14:textId="77777777" w:rsidR="003731C9" w:rsidRDefault="003731C9" w:rsidP="003731C9">
      <w:pPr>
        <w:pStyle w:val="BodyText"/>
      </w:pPr>
      <w:r>
        <w:t>Desktop research was undertaken prior to the commencement of field surveys and included database searches and a review of relevant literature to help identify threatened biota known or likely to occur in the study area.</w:t>
      </w:r>
    </w:p>
    <w:p w14:paraId="45253B79" w14:textId="77777777" w:rsidR="003731C9" w:rsidRDefault="003731C9" w:rsidP="003731C9">
      <w:pPr>
        <w:pStyle w:val="BodyText"/>
      </w:pPr>
      <w:r>
        <w:t xml:space="preserve">The following databases and resources were investigated: </w:t>
      </w:r>
    </w:p>
    <w:p w14:paraId="40676D0B" w14:textId="758B0503" w:rsidR="003731C9" w:rsidRDefault="003731C9" w:rsidP="00AF0095">
      <w:pPr>
        <w:pStyle w:val="ListBullet"/>
      </w:pPr>
      <w:r>
        <w:t>NSW OEH Atlas of NSW Wildlife Database within a 10 kilometr</w:t>
      </w:r>
      <w:r w:rsidR="00183087">
        <w:t>e buffer of the site (OEH 2014)</w:t>
      </w:r>
    </w:p>
    <w:p w14:paraId="5ACF21E6" w14:textId="15FEA1C2" w:rsidR="003731C9" w:rsidRDefault="003731C9" w:rsidP="00AF0095">
      <w:pPr>
        <w:pStyle w:val="ListBullet"/>
      </w:pPr>
      <w:r>
        <w:t>Commonwealth Protected Matters Search to identify all MNES within 10 km of the site. MNES include threatened species, communities and migratory species which are listed under the EPBC Act (</w:t>
      </w:r>
      <w:r w:rsidR="00183087">
        <w:t>Department of Environment 2014)</w:t>
      </w:r>
    </w:p>
    <w:p w14:paraId="57546BC4" w14:textId="0D87DAC4" w:rsidR="003731C9" w:rsidRDefault="003731C9" w:rsidP="00AF0095">
      <w:pPr>
        <w:pStyle w:val="ListBullet"/>
      </w:pPr>
      <w:r>
        <w:t>NSW Flora Online Search – Rare or Threatened Australian Plants (ROTAP) species (The Royal Botanic Gardens and Domain Tr</w:t>
      </w:r>
      <w:r w:rsidR="00183087">
        <w:t>ust 2014)</w:t>
      </w:r>
    </w:p>
    <w:p w14:paraId="5CB717AB" w14:textId="47FCECCC" w:rsidR="003731C9" w:rsidRDefault="003731C9" w:rsidP="00AF0095">
      <w:pPr>
        <w:pStyle w:val="ListBullet"/>
      </w:pPr>
      <w:r>
        <w:t>NSW OEH NSW Native Vegetation Types Database, Vegetation Benchmarks Database, Threatened Spec</w:t>
      </w:r>
      <w:r w:rsidR="00183087">
        <w:t>ies Profile Database (OEH 2012)</w:t>
      </w:r>
    </w:p>
    <w:p w14:paraId="7713D050" w14:textId="42B843C6" w:rsidR="003731C9" w:rsidRDefault="003731C9" w:rsidP="00AF0095">
      <w:pPr>
        <w:pStyle w:val="ListBullet"/>
      </w:pPr>
      <w:r>
        <w:t xml:space="preserve">Native Vegetation of the Cumberland Plain, Western </w:t>
      </w:r>
      <w:r w:rsidR="00183087">
        <w:t>Sydney (NPWS 2002)</w:t>
      </w:r>
    </w:p>
    <w:p w14:paraId="4E2B7B0F" w14:textId="312B1280" w:rsidR="003731C9" w:rsidRDefault="003731C9" w:rsidP="00AF0095">
      <w:pPr>
        <w:pStyle w:val="ListBullet"/>
      </w:pPr>
      <w:r>
        <w:t xml:space="preserve">Western Sydney Urban Bushland </w:t>
      </w:r>
      <w:r w:rsidR="00183087">
        <w:t>Biodiversity Survey (NPWS 1997)</w:t>
      </w:r>
    </w:p>
    <w:p w14:paraId="751CBACC" w14:textId="0A197B86" w:rsidR="003731C9" w:rsidRDefault="003731C9" w:rsidP="00AF0095">
      <w:pPr>
        <w:pStyle w:val="ListBullet"/>
      </w:pPr>
      <w:r>
        <w:t>Department of Primary Industry – Fishing and Aquaculture: Threatened and Protected Sp</w:t>
      </w:r>
      <w:r w:rsidR="00183087">
        <w:t>ecies, Liverpool LGA (DPI 2014)</w:t>
      </w:r>
    </w:p>
    <w:p w14:paraId="6A3727D5" w14:textId="59282C6C" w:rsidR="003731C9" w:rsidRDefault="003731C9" w:rsidP="00AF0095">
      <w:pPr>
        <w:pStyle w:val="ListBullet"/>
      </w:pPr>
      <w:r>
        <w:t>NSW Department of Primary Industries records viewer, http://www.dpi.nsw.gov.au/fisheries/sp</w:t>
      </w:r>
      <w:r w:rsidR="00183087">
        <w:t>ecies-protection/records/viewer</w:t>
      </w:r>
    </w:p>
    <w:p w14:paraId="60FFFCA8" w14:textId="43655FA4" w:rsidR="003731C9" w:rsidRDefault="003731C9" w:rsidP="00AF0095">
      <w:pPr>
        <w:pStyle w:val="ListBullet"/>
      </w:pPr>
      <w:r>
        <w:t>NSW Department of Primary Industrie</w:t>
      </w:r>
      <w:r w:rsidR="00183087">
        <w:t>s Noxious Weeds List (DPI 2014)</w:t>
      </w:r>
    </w:p>
    <w:p w14:paraId="578C908C" w14:textId="2761D8C5" w:rsidR="003731C9" w:rsidRDefault="003731C9" w:rsidP="00AF0095">
      <w:pPr>
        <w:pStyle w:val="ListBullet"/>
      </w:pPr>
      <w:r>
        <w:t>National Groundwater Depende</w:t>
      </w:r>
      <w:r w:rsidR="00183087">
        <w:t>nt Ecosystems Atlas (BoM 2014)</w:t>
      </w:r>
    </w:p>
    <w:p w14:paraId="46922AB1" w14:textId="00BA0751" w:rsidR="003731C9" w:rsidRDefault="003731C9" w:rsidP="00AF0095">
      <w:pPr>
        <w:pStyle w:val="ListBullet"/>
      </w:pPr>
      <w:r>
        <w:t>Previous ecological reports prepared as part of the Second Sydney Airport Draft Environmental Impact Statement in 199</w:t>
      </w:r>
      <w:r w:rsidR="00273E7D">
        <w:t>7</w:t>
      </w:r>
      <w:r>
        <w:t xml:space="preserve"> and associated supplementary reports.</w:t>
      </w:r>
    </w:p>
    <w:p w14:paraId="00540E53" w14:textId="3C768508" w:rsidR="00F71717" w:rsidRDefault="003731C9" w:rsidP="003731C9">
      <w:pPr>
        <w:pStyle w:val="BodyText"/>
      </w:pPr>
      <w:r>
        <w:t xml:space="preserve">Survey methods were developed following a review of </w:t>
      </w:r>
      <w:r w:rsidRPr="00C52ABC">
        <w:rPr>
          <w:i/>
        </w:rPr>
        <w:t>Survey Guidelines for Nationally Threatened Species, Threatened Species Survey</w:t>
      </w:r>
      <w:r>
        <w:t xml:space="preserve"> and </w:t>
      </w:r>
      <w:r w:rsidRPr="00C52ABC">
        <w:rPr>
          <w:i/>
        </w:rPr>
        <w:t>Assessment: Guidelines for developments and activities (working draft)</w:t>
      </w:r>
      <w:r>
        <w:t xml:space="preserve"> (DEC 2004) and the </w:t>
      </w:r>
      <w:r w:rsidRPr="00C52ABC">
        <w:rPr>
          <w:i/>
        </w:rPr>
        <w:t>Native Vegetation Interim Type Standard</w:t>
      </w:r>
      <w:r>
        <w:t xml:space="preserve"> (DECCW 2010</w:t>
      </w:r>
      <w:r w:rsidR="00C822A6">
        <w:t>b</w:t>
      </w:r>
      <w:r>
        <w:t>).</w:t>
      </w:r>
    </w:p>
    <w:p w14:paraId="7A399BAB" w14:textId="33B62B65" w:rsidR="003731C9" w:rsidRDefault="00F25067" w:rsidP="003731C9">
      <w:pPr>
        <w:pStyle w:val="BodyText"/>
      </w:pPr>
      <w:r>
        <w:t>A full description of the methodology is provided in the biodiversity report included as Appendix B to this report.</w:t>
      </w:r>
    </w:p>
    <w:p w14:paraId="7D537E95" w14:textId="072C0D86" w:rsidR="00163E8A" w:rsidRDefault="00163E8A" w:rsidP="00163E8A">
      <w:pPr>
        <w:pStyle w:val="Heading3"/>
      </w:pPr>
      <w:r>
        <w:t>Field survey</w:t>
      </w:r>
    </w:p>
    <w:p w14:paraId="0F15DB65" w14:textId="785472D2" w:rsidR="003731C9" w:rsidRDefault="003731C9" w:rsidP="003731C9">
      <w:pPr>
        <w:pStyle w:val="BodyText"/>
      </w:pPr>
      <w:r>
        <w:t>A terrestrial flora survey and fauna habitat assessment of the study area was conducted on 22, 23 and 25 September 2014. The field survey aimed to ground truth existing vegetation mapping, describe vegetation and habitat type and condition in more detail</w:t>
      </w:r>
      <w:r w:rsidR="00541AAF">
        <w:t>,</w:t>
      </w:r>
      <w:r>
        <w:t xml:space="preserve"> and identify any areas of higher quality vegetation habitat that could support threatened species potentially occurring in the study area.</w:t>
      </w:r>
    </w:p>
    <w:p w14:paraId="5F503589" w14:textId="0E98F592" w:rsidR="00382766" w:rsidRPr="004A07E5" w:rsidRDefault="003731C9" w:rsidP="003731C9">
      <w:pPr>
        <w:pStyle w:val="BodyText"/>
      </w:pPr>
      <w:proofErr w:type="gramStart"/>
      <w:r>
        <w:t xml:space="preserve">The field surveys undertaken by SMEC in September 2014 added to, and updated, previous flora and fauna surveys undertaken by </w:t>
      </w:r>
      <w:proofErr w:type="spellStart"/>
      <w:r>
        <w:t>Biosis</w:t>
      </w:r>
      <w:proofErr w:type="spellEnd"/>
      <w:r>
        <w:t xml:space="preserve"> in the study area for the Draft EIS.</w:t>
      </w:r>
      <w:proofErr w:type="gramEnd"/>
    </w:p>
    <w:p w14:paraId="2322C095" w14:textId="77777777" w:rsidR="00382766" w:rsidRDefault="00382766" w:rsidP="005613AC">
      <w:pPr>
        <w:pStyle w:val="Subheading"/>
      </w:pPr>
      <w:r>
        <w:t>Flora</w:t>
      </w:r>
    </w:p>
    <w:p w14:paraId="52408C68" w14:textId="7BBAEDF1" w:rsidR="00C00402" w:rsidRDefault="003731C9" w:rsidP="00C00402">
      <w:pPr>
        <w:pStyle w:val="BodyText"/>
      </w:pPr>
      <w:r>
        <w:t xml:space="preserve">Existing mapping </w:t>
      </w:r>
      <w:r w:rsidR="00C00402">
        <w:t>of vegetation communities in the study area (</w:t>
      </w:r>
      <w:r w:rsidR="00C00402">
        <w:fldChar w:fldCharType="begin"/>
      </w:r>
      <w:r w:rsidR="00C00402">
        <w:instrText xml:space="preserve"> REF _Ref401837618 \h </w:instrText>
      </w:r>
      <w:r w:rsidR="00C00402">
        <w:fldChar w:fldCharType="separate"/>
      </w:r>
      <w:r w:rsidR="004E469D">
        <w:t xml:space="preserve">Figure </w:t>
      </w:r>
      <w:r w:rsidR="004E469D">
        <w:rPr>
          <w:noProof/>
        </w:rPr>
        <w:t>2</w:t>
      </w:r>
      <w:r w:rsidR="004E469D">
        <w:t>.</w:t>
      </w:r>
      <w:r w:rsidR="004E469D">
        <w:rPr>
          <w:noProof/>
        </w:rPr>
        <w:t>1</w:t>
      </w:r>
      <w:r w:rsidR="00C00402">
        <w:fldChar w:fldCharType="end"/>
      </w:r>
      <w:r w:rsidR="00C00402">
        <w:t xml:space="preserve">) </w:t>
      </w:r>
      <w:r>
        <w:t>undertaken by NPWS (2002) was obtained</w:t>
      </w:r>
      <w:r w:rsidR="00031B14">
        <w:t xml:space="preserve"> and reviewed</w:t>
      </w:r>
      <w:r>
        <w:t>. Sites were selected via desktop to undertake vegetation plot assessment</w:t>
      </w:r>
      <w:r w:rsidR="002A0C32">
        <w:t>s</w:t>
      </w:r>
      <w:r>
        <w:t xml:space="preserve"> in the field. Sites selected were within patches of vegetation most likely to meet the definition of EPBC listed Cumberland Plain Shale Woodlands and </w:t>
      </w:r>
      <w:r w:rsidR="00C00402">
        <w:t>Shale–Gravel</w:t>
      </w:r>
      <w:r>
        <w:t xml:space="preserve"> Transition Forest (CPW). Two additional sites were selected along Badgerys Creek to sample riparian vegetation. </w:t>
      </w:r>
      <w:r w:rsidR="002A0C32">
        <w:t>The locations of survey</w:t>
      </w:r>
      <w:r w:rsidR="003D120C">
        <w:t xml:space="preserve"> sites are shown in </w:t>
      </w:r>
      <w:r w:rsidR="00C00402">
        <w:fldChar w:fldCharType="begin"/>
      </w:r>
      <w:r w:rsidR="00C00402">
        <w:instrText xml:space="preserve"> REF _Ref401837650 \h </w:instrText>
      </w:r>
      <w:r w:rsidR="00C00402">
        <w:fldChar w:fldCharType="separate"/>
      </w:r>
      <w:r w:rsidR="004E469D">
        <w:t xml:space="preserve">Figure </w:t>
      </w:r>
      <w:r w:rsidR="004E469D">
        <w:rPr>
          <w:noProof/>
        </w:rPr>
        <w:t>2</w:t>
      </w:r>
      <w:r w:rsidR="004E469D">
        <w:t>.</w:t>
      </w:r>
      <w:r w:rsidR="004E469D">
        <w:rPr>
          <w:noProof/>
        </w:rPr>
        <w:t>2</w:t>
      </w:r>
      <w:r w:rsidR="00C00402">
        <w:fldChar w:fldCharType="end"/>
      </w:r>
      <w:r w:rsidR="003D120C">
        <w:t>.</w:t>
      </w:r>
      <w:r w:rsidR="00C00402">
        <w:br w:type="page"/>
      </w:r>
    </w:p>
    <w:p w14:paraId="053D3B1E" w14:textId="24C21DB2" w:rsidR="002A0C32" w:rsidRDefault="00EC7A73" w:rsidP="00EC7A73">
      <w:pPr>
        <w:pStyle w:val="BodyText"/>
        <w:jc w:val="center"/>
      </w:pPr>
      <w:r>
        <w:rPr>
          <w:noProof/>
          <w:lang w:eastAsia="en-AU"/>
        </w:rPr>
        <w:drawing>
          <wp:inline distT="0" distB="0" distL="0" distR="0" wp14:anchorId="45FA0863" wp14:editId="35D36021">
            <wp:extent cx="5684710" cy="8382000"/>
            <wp:effectExtent l="0" t="0" r="0" b="0"/>
            <wp:docPr id="3" name="Picture 3" descr="Figure 2.1 Existing vegetation" title="Figure 2.1 Existing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 Existing veg.jpg"/>
                    <pic:cNvPicPr/>
                  </pic:nvPicPr>
                  <pic:blipFill rotWithShape="1">
                    <a:blip r:embed="rId23">
                      <a:extLst>
                        <a:ext uri="{28A0092B-C50C-407E-A947-70E740481C1C}">
                          <a14:useLocalDpi xmlns:a14="http://schemas.microsoft.com/office/drawing/2010/main" val="0"/>
                        </a:ext>
                      </a:extLst>
                    </a:blip>
                    <a:srcRect/>
                    <a:stretch/>
                  </pic:blipFill>
                  <pic:spPr bwMode="auto">
                    <a:xfrm>
                      <a:off x="0" y="0"/>
                      <a:ext cx="5684710" cy="8382000"/>
                    </a:xfrm>
                    <a:prstGeom prst="rect">
                      <a:avLst/>
                    </a:prstGeom>
                    <a:ln>
                      <a:noFill/>
                    </a:ln>
                    <a:extLst>
                      <a:ext uri="{53640926-AAD7-44D8-BBD7-CCE9431645EC}">
                        <a14:shadowObscured xmlns:a14="http://schemas.microsoft.com/office/drawing/2010/main"/>
                      </a:ext>
                    </a:extLst>
                  </pic:spPr>
                </pic:pic>
              </a:graphicData>
            </a:graphic>
          </wp:inline>
        </w:drawing>
      </w:r>
    </w:p>
    <w:p w14:paraId="6AB19496" w14:textId="4B82107C" w:rsidR="00C00402" w:rsidRDefault="00C00402" w:rsidP="004F1E44">
      <w:pPr>
        <w:pStyle w:val="Caption"/>
        <w:ind w:left="1134" w:hanging="1134"/>
      </w:pPr>
      <w:bookmarkStart w:id="28" w:name="_Ref401837618"/>
      <w:bookmarkStart w:id="29" w:name="_Toc402441356"/>
      <w:proofErr w:type="gramStart"/>
      <w:r>
        <w:t xml:space="preserve">Figure </w:t>
      </w:r>
      <w:proofErr w:type="gramEnd"/>
      <w:r w:rsidR="001C525C">
        <w:fldChar w:fldCharType="begin"/>
      </w:r>
      <w:r w:rsidR="001C525C">
        <w:instrText xml:space="preserve"> STYLEREF 1 \s </w:instrText>
      </w:r>
      <w:r w:rsidR="001C525C">
        <w:fldChar w:fldCharType="separate"/>
      </w:r>
      <w:r w:rsidR="004E469D">
        <w:rPr>
          <w:noProof/>
        </w:rPr>
        <w:t>2</w:t>
      </w:r>
      <w:r w:rsidR="001C525C">
        <w:rPr>
          <w:noProof/>
        </w:rPr>
        <w:fldChar w:fldCharType="end"/>
      </w:r>
      <w:proofErr w:type="gramStart"/>
      <w:r w:rsidR="00500FAE">
        <w:t>.</w:t>
      </w:r>
      <w:proofErr w:type="gramEnd"/>
      <w:r w:rsidR="001C525C">
        <w:fldChar w:fldCharType="begin"/>
      </w:r>
      <w:r w:rsidR="001C525C">
        <w:instrText xml:space="preserve"> SEQ Figure \* ARABIC \s 1 </w:instrText>
      </w:r>
      <w:r w:rsidR="001C525C">
        <w:fldChar w:fldCharType="separate"/>
      </w:r>
      <w:r w:rsidR="004E469D">
        <w:rPr>
          <w:noProof/>
        </w:rPr>
        <w:t>1</w:t>
      </w:r>
      <w:r w:rsidR="001C525C">
        <w:rPr>
          <w:noProof/>
        </w:rPr>
        <w:fldChar w:fldCharType="end"/>
      </w:r>
      <w:bookmarkEnd w:id="28"/>
      <w:r>
        <w:tab/>
        <w:t>Existing vegetation</w:t>
      </w:r>
      <w:bookmarkEnd w:id="29"/>
    </w:p>
    <w:p w14:paraId="59AD4435" w14:textId="7A255DBC" w:rsidR="00163E8A" w:rsidRDefault="00EC7A73" w:rsidP="00EC7A73">
      <w:pPr>
        <w:pStyle w:val="Caption"/>
        <w:ind w:left="1134" w:hanging="1134"/>
        <w:jc w:val="center"/>
      </w:pPr>
      <w:r>
        <w:rPr>
          <w:noProof/>
          <w:lang w:eastAsia="en-AU"/>
        </w:rPr>
        <w:drawing>
          <wp:inline distT="0" distB="0" distL="0" distR="0" wp14:anchorId="0689F9D9" wp14:editId="25DBB43C">
            <wp:extent cx="5695950" cy="8478386"/>
            <wp:effectExtent l="0" t="0" r="0" b="0"/>
            <wp:docPr id="5" name="Picture 5" descr="Figure 2.2 EPBC listed vegetation and field survey locations" title="Figure 2.2 EPBC listed vegetation and field survey lo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 EPBC.jpg"/>
                    <pic:cNvPicPr/>
                  </pic:nvPicPr>
                  <pic:blipFill rotWithShape="1">
                    <a:blip r:embed="rId24">
                      <a:extLst>
                        <a:ext uri="{28A0092B-C50C-407E-A947-70E740481C1C}">
                          <a14:useLocalDpi xmlns:a14="http://schemas.microsoft.com/office/drawing/2010/main" val="0"/>
                        </a:ext>
                      </a:extLst>
                    </a:blip>
                    <a:srcRect/>
                    <a:stretch/>
                  </pic:blipFill>
                  <pic:spPr bwMode="auto">
                    <a:xfrm>
                      <a:off x="0" y="0"/>
                      <a:ext cx="5698465" cy="8482129"/>
                    </a:xfrm>
                    <a:prstGeom prst="rect">
                      <a:avLst/>
                    </a:prstGeom>
                    <a:ln>
                      <a:noFill/>
                    </a:ln>
                    <a:extLst>
                      <a:ext uri="{53640926-AAD7-44D8-BBD7-CCE9431645EC}">
                        <a14:shadowObscured xmlns:a14="http://schemas.microsoft.com/office/drawing/2010/main"/>
                      </a:ext>
                    </a:extLst>
                  </pic:spPr>
                </pic:pic>
              </a:graphicData>
            </a:graphic>
          </wp:inline>
        </w:drawing>
      </w:r>
    </w:p>
    <w:p w14:paraId="5F311927" w14:textId="293164AF" w:rsidR="004F1E44" w:rsidRDefault="004F1E44" w:rsidP="004F1E44">
      <w:pPr>
        <w:pStyle w:val="Caption"/>
        <w:ind w:left="1134" w:hanging="1134"/>
      </w:pPr>
      <w:bookmarkStart w:id="30" w:name="_Ref401837650"/>
      <w:bookmarkStart w:id="31" w:name="_Toc402441357"/>
      <w:proofErr w:type="gramStart"/>
      <w:r>
        <w:t xml:space="preserve">Figure </w:t>
      </w:r>
      <w:proofErr w:type="gramEnd"/>
      <w:r w:rsidR="001C525C">
        <w:fldChar w:fldCharType="begin"/>
      </w:r>
      <w:r w:rsidR="001C525C">
        <w:instrText xml:space="preserve"> STYLEREF 1 \s </w:instrText>
      </w:r>
      <w:r w:rsidR="001C525C">
        <w:fldChar w:fldCharType="separate"/>
      </w:r>
      <w:r w:rsidR="004E469D">
        <w:rPr>
          <w:noProof/>
        </w:rPr>
        <w:t>2</w:t>
      </w:r>
      <w:r w:rsidR="001C525C">
        <w:rPr>
          <w:noProof/>
        </w:rPr>
        <w:fldChar w:fldCharType="end"/>
      </w:r>
      <w:proofErr w:type="gramStart"/>
      <w:r w:rsidR="00500FAE">
        <w:t>.</w:t>
      </w:r>
      <w:proofErr w:type="gramEnd"/>
      <w:r w:rsidR="001C525C">
        <w:fldChar w:fldCharType="begin"/>
      </w:r>
      <w:r w:rsidR="001C525C">
        <w:instrText xml:space="preserve"> SEQ Figure \* ARABIC \s 1 </w:instrText>
      </w:r>
      <w:r w:rsidR="001C525C">
        <w:fldChar w:fldCharType="separate"/>
      </w:r>
      <w:r w:rsidR="004E469D">
        <w:rPr>
          <w:noProof/>
        </w:rPr>
        <w:t>2</w:t>
      </w:r>
      <w:r w:rsidR="001C525C">
        <w:rPr>
          <w:noProof/>
        </w:rPr>
        <w:fldChar w:fldCharType="end"/>
      </w:r>
      <w:bookmarkEnd w:id="30"/>
      <w:r>
        <w:tab/>
      </w:r>
      <w:r w:rsidRPr="004F1E44">
        <w:t>EPBC listed vegetation and field survey locations</w:t>
      </w:r>
      <w:bookmarkEnd w:id="31"/>
    </w:p>
    <w:p w14:paraId="4D473D59" w14:textId="77777777" w:rsidR="00C822A6" w:rsidRDefault="00C822A6" w:rsidP="00C822A6">
      <w:pPr>
        <w:pStyle w:val="BodyText"/>
      </w:pPr>
      <w:r w:rsidRPr="003D120C">
        <w:t>In addition to plot assessments</w:t>
      </w:r>
      <w:r>
        <w:t>,</w:t>
      </w:r>
      <w:r w:rsidRPr="003D120C">
        <w:t xml:space="preserve"> additional observations of vegetation type and condition were made throughout the study area. These included opportunistic observation of the condition of ‘cleared’ land to assess whether the remaining grassland contained native vegetation. These observations were used in conjunction with plot data and aerial photography to confirm (ground-truth) existing vegetation mapping and assist in calculating approximate patch sizes of vegetation communities.</w:t>
      </w:r>
    </w:p>
    <w:p w14:paraId="0C866FA9" w14:textId="02FE10B3" w:rsidR="002A0C32" w:rsidRDefault="002A0C32" w:rsidP="002A0C32">
      <w:pPr>
        <w:pStyle w:val="BodyText"/>
      </w:pPr>
      <w:r>
        <w:t xml:space="preserve">The random meander technique (Cropper 1993) was used to target areas in the vicinity of previously known locations of threatened flora species. This focussed specifically on </w:t>
      </w:r>
      <w:proofErr w:type="spellStart"/>
      <w:r w:rsidRPr="003731C9">
        <w:rPr>
          <w:i/>
        </w:rPr>
        <w:t>Pultenaea</w:t>
      </w:r>
      <w:proofErr w:type="spellEnd"/>
      <w:r w:rsidRPr="003731C9">
        <w:rPr>
          <w:i/>
        </w:rPr>
        <w:t xml:space="preserve"> </w:t>
      </w:r>
      <w:proofErr w:type="spellStart"/>
      <w:r w:rsidRPr="003731C9">
        <w:rPr>
          <w:i/>
        </w:rPr>
        <w:t>parviflora</w:t>
      </w:r>
      <w:proofErr w:type="spellEnd"/>
      <w:r>
        <w:t xml:space="preserve"> along </w:t>
      </w:r>
      <w:proofErr w:type="spellStart"/>
      <w:r>
        <w:t>Longleys</w:t>
      </w:r>
      <w:proofErr w:type="spellEnd"/>
      <w:r>
        <w:t xml:space="preserve"> Road and Anton Road as well as </w:t>
      </w:r>
      <w:proofErr w:type="spellStart"/>
      <w:r w:rsidRPr="003731C9">
        <w:rPr>
          <w:i/>
        </w:rPr>
        <w:t>Marsdenia</w:t>
      </w:r>
      <w:proofErr w:type="spellEnd"/>
      <w:r w:rsidRPr="003731C9">
        <w:rPr>
          <w:i/>
        </w:rPr>
        <w:t xml:space="preserve"> </w:t>
      </w:r>
      <w:proofErr w:type="spellStart"/>
      <w:r w:rsidRPr="003731C9">
        <w:rPr>
          <w:i/>
        </w:rPr>
        <w:t>viridiflora</w:t>
      </w:r>
      <w:proofErr w:type="spellEnd"/>
      <w:r>
        <w:t xml:space="preserve"> along Badgerys Creek Road in the north of the study area.</w:t>
      </w:r>
    </w:p>
    <w:p w14:paraId="0742D89E" w14:textId="5CE03CBA" w:rsidR="00382766" w:rsidRDefault="003731C9" w:rsidP="003731C9">
      <w:pPr>
        <w:pStyle w:val="BodyText"/>
      </w:pPr>
      <w:r>
        <w:t xml:space="preserve">Searches were also undertaken in suitable habitat near to an old recovery plan record of </w:t>
      </w:r>
      <w:r w:rsidRPr="003731C9">
        <w:rPr>
          <w:i/>
        </w:rPr>
        <w:t xml:space="preserve">Acacia </w:t>
      </w:r>
      <w:proofErr w:type="spellStart"/>
      <w:r w:rsidRPr="003731C9">
        <w:rPr>
          <w:i/>
        </w:rPr>
        <w:t>pubescens</w:t>
      </w:r>
      <w:proofErr w:type="spellEnd"/>
      <w:r w:rsidR="00031B14">
        <w:t xml:space="preserve"> on a property on </w:t>
      </w:r>
      <w:proofErr w:type="spellStart"/>
      <w:r w:rsidR="00031B14">
        <w:t>Longleys</w:t>
      </w:r>
      <w:proofErr w:type="spellEnd"/>
      <w:r w:rsidR="00031B14">
        <w:t xml:space="preserve"> Road</w:t>
      </w:r>
      <w:r w:rsidR="00031B14" w:rsidRPr="00031B14">
        <w:t xml:space="preserve"> as well as a herbarium record for this species on Elizabeth Drive referred to in the </w:t>
      </w:r>
      <w:r w:rsidR="00031B14">
        <w:t>urban bushland biodiversity survey</w:t>
      </w:r>
      <w:r w:rsidR="00031B14" w:rsidRPr="00031B14">
        <w:t xml:space="preserve"> report (N</w:t>
      </w:r>
      <w:r w:rsidR="00031B14">
        <w:t xml:space="preserve">ational </w:t>
      </w:r>
      <w:r w:rsidR="00031B14" w:rsidRPr="00031B14">
        <w:t>P</w:t>
      </w:r>
      <w:r w:rsidR="00031B14">
        <w:t xml:space="preserve">arks and </w:t>
      </w:r>
      <w:r w:rsidR="00031B14" w:rsidRPr="00031B14">
        <w:t>W</w:t>
      </w:r>
      <w:r w:rsidR="00031B14">
        <w:t xml:space="preserve">ildlife </w:t>
      </w:r>
      <w:r w:rsidR="00031B14" w:rsidRPr="00031B14">
        <w:t>S</w:t>
      </w:r>
      <w:r w:rsidR="00031B14">
        <w:t>ervice 1997).</w:t>
      </w:r>
    </w:p>
    <w:p w14:paraId="2A7CD9A0" w14:textId="77777777" w:rsidR="00382766" w:rsidRDefault="00382766" w:rsidP="005613AC">
      <w:pPr>
        <w:pStyle w:val="Subheading"/>
      </w:pPr>
      <w:r>
        <w:t>Fauna</w:t>
      </w:r>
    </w:p>
    <w:p w14:paraId="51C1FA18" w14:textId="313BF6AA" w:rsidR="00EE673F" w:rsidRDefault="00031B14" w:rsidP="00EE673F">
      <w:pPr>
        <w:pStyle w:val="BodyText"/>
      </w:pPr>
      <w:r>
        <w:t>A</w:t>
      </w:r>
      <w:r w:rsidR="00EE673F">
        <w:t xml:space="preserve"> fauna habitat assessment was conducted to assist in determining the likelihood of presence of threatened fauna species. Habitat assessments focussed </w:t>
      </w:r>
      <w:r>
        <w:t>on</w:t>
      </w:r>
      <w:r w:rsidR="00EE673F">
        <w:t xml:space="preserve"> sites where rapid vegetation as</w:t>
      </w:r>
      <w:r w:rsidR="008D2A88">
        <w:t>sessment plots were undertaken.</w:t>
      </w:r>
    </w:p>
    <w:p w14:paraId="19A45618" w14:textId="1CAA4105" w:rsidR="00EE673F" w:rsidRDefault="00EE673F" w:rsidP="00EE673F">
      <w:pPr>
        <w:pStyle w:val="BodyText"/>
      </w:pPr>
      <w:r>
        <w:t>Habitat characteristics considered include the presence of nectar-producing plants, hollow bearing trees, fallen logs, leaf litter and other ground debris, drainage lines, ponds, the structure of vegetation communities and the presence of fruiting/flowering plant species to assess the habitat suitability for a range of fauna species.</w:t>
      </w:r>
    </w:p>
    <w:p w14:paraId="3E589C7C" w14:textId="5087955C" w:rsidR="00EE673F" w:rsidRDefault="00EE673F" w:rsidP="00EE673F">
      <w:pPr>
        <w:pStyle w:val="BodyText"/>
      </w:pPr>
      <w:r>
        <w:t>Using the random meander technique, searches were carried out for signs of fauna activity such as tracks, scats, scratches and notches on trees, as well as any opportunistic sightings, to identify the presence of common and threatened fauna species.</w:t>
      </w:r>
    </w:p>
    <w:p w14:paraId="5BD857A7" w14:textId="77777777" w:rsidR="00382766" w:rsidRDefault="00382766" w:rsidP="00382766">
      <w:pPr>
        <w:pStyle w:val="Heading3"/>
      </w:pPr>
      <w:r>
        <w:t>Limitations</w:t>
      </w:r>
    </w:p>
    <w:p w14:paraId="7178EB5F" w14:textId="65E5E6CD" w:rsidR="004354A6" w:rsidRDefault="00163E8A" w:rsidP="004354A6">
      <w:pPr>
        <w:pStyle w:val="BodyText"/>
      </w:pPr>
      <w:r>
        <w:t>The l</w:t>
      </w:r>
      <w:r w:rsidR="004354A6">
        <w:t xml:space="preserve">imitations </w:t>
      </w:r>
      <w:r w:rsidR="000C4E66">
        <w:t>of the flora and fauna surveys</w:t>
      </w:r>
      <w:r w:rsidR="004354A6">
        <w:t xml:space="preserve"> </w:t>
      </w:r>
      <w:r>
        <w:t>are as follows</w:t>
      </w:r>
      <w:r w:rsidR="004354A6">
        <w:t>:</w:t>
      </w:r>
    </w:p>
    <w:p w14:paraId="46EA8E3A" w14:textId="31C0CCFB" w:rsidR="004354A6" w:rsidRDefault="004354A6" w:rsidP="00AF0095">
      <w:pPr>
        <w:pStyle w:val="ListBullet"/>
      </w:pPr>
      <w:r>
        <w:t>The biodiversity report provides a</w:t>
      </w:r>
      <w:r w:rsidR="00580EB3">
        <w:t>n</w:t>
      </w:r>
      <w:r>
        <w:t xml:space="preserve"> </w:t>
      </w:r>
      <w:r w:rsidR="00580EB3">
        <w:t>overview</w:t>
      </w:r>
      <w:r>
        <w:t xml:space="preserve"> of the biodiversity values of the study area to assist </w:t>
      </w:r>
      <w:r w:rsidR="00031B14">
        <w:t xml:space="preserve">in </w:t>
      </w:r>
      <w:r>
        <w:t>develop</w:t>
      </w:r>
      <w:r w:rsidR="00031B14">
        <w:t>ing</w:t>
      </w:r>
      <w:r>
        <w:t xml:space="preserve"> an understanding of </w:t>
      </w:r>
      <w:r w:rsidR="00580EB3">
        <w:t>it</w:t>
      </w:r>
      <w:r>
        <w:t xml:space="preserve">s biodiversity characteristics. It is not a </w:t>
      </w:r>
      <w:r w:rsidR="00163E8A">
        <w:t xml:space="preserve">report of a </w:t>
      </w:r>
      <w:r>
        <w:t>detailed investigation of all relevant ecological characteristics.</w:t>
      </w:r>
    </w:p>
    <w:p w14:paraId="2F5F2482" w14:textId="35DFE36E" w:rsidR="004354A6" w:rsidRDefault="004354A6" w:rsidP="00AF0095">
      <w:pPr>
        <w:pStyle w:val="ListBullet"/>
      </w:pPr>
      <w:r>
        <w:t>Access to parts of the study area for field survey was limited due to time constraints and landholder notification requirements.</w:t>
      </w:r>
    </w:p>
    <w:p w14:paraId="7008561B" w14:textId="1E6AA764" w:rsidR="004354A6" w:rsidRDefault="004354A6" w:rsidP="00AF0095">
      <w:pPr>
        <w:pStyle w:val="ListBullet"/>
      </w:pPr>
      <w:r>
        <w:t xml:space="preserve">Vegetation survey was limited to </w:t>
      </w:r>
      <w:r w:rsidR="006F516D">
        <w:t xml:space="preserve">assessment of </w:t>
      </w:r>
      <w:r>
        <w:t xml:space="preserve">12 </w:t>
      </w:r>
      <w:r w:rsidR="00F2767F">
        <w:t>vegetation plot</w:t>
      </w:r>
      <w:r w:rsidR="006F516D">
        <w:t>s</w:t>
      </w:r>
      <w:r>
        <w:t xml:space="preserve"> at selected locations mainly targeting better condition EPBC-listed CPW. There were no full floristic surveys and vegetation community diagnostic analyses undertaken in relation to plot data.</w:t>
      </w:r>
    </w:p>
    <w:p w14:paraId="0ADC4392" w14:textId="718B5945" w:rsidR="004354A6" w:rsidRDefault="004354A6" w:rsidP="00AF0095">
      <w:pPr>
        <w:pStyle w:val="ListBullet"/>
      </w:pPr>
      <w:r>
        <w:t xml:space="preserve">The rapid flora surveys conducted in September 2014 allowed considerable validation of the existing Cumberland Plain vegetation mapping (NPWS 2002). This provided a high level of confidence in the plant communities identified and associated threatened species that may occur in the study area. </w:t>
      </w:r>
    </w:p>
    <w:p w14:paraId="3F18F1F6" w14:textId="55D3793F" w:rsidR="004354A6" w:rsidRDefault="004354A6" w:rsidP="00AF0095">
      <w:pPr>
        <w:pStyle w:val="ListBullet"/>
      </w:pPr>
      <w:r>
        <w:t xml:space="preserve">Threatened flora surveys were limited to known locations of </w:t>
      </w:r>
      <w:proofErr w:type="spellStart"/>
      <w:r w:rsidRPr="004354A6">
        <w:rPr>
          <w:i/>
        </w:rPr>
        <w:t>Pultenaea</w:t>
      </w:r>
      <w:proofErr w:type="spellEnd"/>
      <w:r w:rsidRPr="004354A6">
        <w:rPr>
          <w:i/>
        </w:rPr>
        <w:t xml:space="preserve"> </w:t>
      </w:r>
      <w:proofErr w:type="spellStart"/>
      <w:r w:rsidRPr="004354A6">
        <w:rPr>
          <w:i/>
        </w:rPr>
        <w:t>parviflora</w:t>
      </w:r>
      <w:proofErr w:type="spellEnd"/>
      <w:r>
        <w:t xml:space="preserve">, </w:t>
      </w:r>
      <w:proofErr w:type="spellStart"/>
      <w:r w:rsidRPr="004354A6">
        <w:rPr>
          <w:i/>
        </w:rPr>
        <w:t>Marsdenia</w:t>
      </w:r>
      <w:proofErr w:type="spellEnd"/>
      <w:r w:rsidRPr="004354A6">
        <w:rPr>
          <w:i/>
        </w:rPr>
        <w:t xml:space="preserve"> </w:t>
      </w:r>
      <w:proofErr w:type="spellStart"/>
      <w:r w:rsidRPr="004354A6">
        <w:rPr>
          <w:i/>
        </w:rPr>
        <w:t>viridiflora</w:t>
      </w:r>
      <w:proofErr w:type="spellEnd"/>
      <w:r>
        <w:t xml:space="preserve"> and </w:t>
      </w:r>
      <w:r w:rsidRPr="004354A6">
        <w:rPr>
          <w:i/>
        </w:rPr>
        <w:t xml:space="preserve">Acacia </w:t>
      </w:r>
      <w:proofErr w:type="spellStart"/>
      <w:r w:rsidRPr="004354A6">
        <w:rPr>
          <w:i/>
        </w:rPr>
        <w:t>bynoeana</w:t>
      </w:r>
      <w:proofErr w:type="spellEnd"/>
      <w:r>
        <w:t>. No seasonal surveys were undertaken for threatened flora across the whole study area.</w:t>
      </w:r>
    </w:p>
    <w:p w14:paraId="3B072D81" w14:textId="0C6E6ACE" w:rsidR="004354A6" w:rsidRDefault="004354A6" w:rsidP="00AF0095">
      <w:pPr>
        <w:pStyle w:val="ListBullet"/>
      </w:pPr>
      <w:r>
        <w:t>While fauna habitat assessments were undertaken, this technique is not a complete substitute for fauna surveys. Fauna are capable of inhabiting sub-optimal habitat. In addition fragmentation, isolation or species density can all influence the presence and distribution of a particular species. Species likelihood of occurrence was informed by habitat characteristics and opportunistic sightings. For the purposes of this biodiversity assessment, threatened fauna species known to occur in the locality are assumed to use the site if suitable habitat is present. No seasonal fauna survey or trapping was undertaken.</w:t>
      </w:r>
    </w:p>
    <w:p w14:paraId="5AFAD408" w14:textId="4F63A909" w:rsidR="004A07E5" w:rsidRDefault="004354A6" w:rsidP="00AF0095">
      <w:pPr>
        <w:pStyle w:val="ListBullet"/>
      </w:pPr>
      <w:r>
        <w:t>No aquatic survey was undertaken of Badgerys Creek or other drainage lines in the study area. Species likelihood of occurrence was informed by previous ecological reports, habitat characteristics and opportunistic sightings.</w:t>
      </w:r>
    </w:p>
    <w:p w14:paraId="10F55EB1" w14:textId="54A692B1" w:rsidR="009E0A02" w:rsidRDefault="009E0A02" w:rsidP="009E0A02">
      <w:pPr>
        <w:pStyle w:val="BodyText"/>
      </w:pPr>
      <w:r>
        <w:t xml:space="preserve">Given the identified limitations, all survey results arising from this investigation should be regarded as providing </w:t>
      </w:r>
      <w:r w:rsidR="001E37E2">
        <w:t xml:space="preserve">only </w:t>
      </w:r>
      <w:r>
        <w:t xml:space="preserve">a limited picture of the biodiversity assets and values at a point in time. </w:t>
      </w:r>
      <w:r w:rsidR="001E37E2">
        <w:t>Related to this, t</w:t>
      </w:r>
      <w:r>
        <w:t xml:space="preserve">hese results are unlikely to be able to be </w:t>
      </w:r>
      <w:r w:rsidR="001E37E2">
        <w:t>solely relied upon</w:t>
      </w:r>
      <w:r>
        <w:t xml:space="preserve"> as the ‘before’ element in any BACI (before, after, control, impact) assessment.</w:t>
      </w:r>
    </w:p>
    <w:p w14:paraId="42F6341D" w14:textId="33CEB425" w:rsidR="009E0A02" w:rsidRDefault="009E0A02" w:rsidP="009E0A02">
      <w:pPr>
        <w:pStyle w:val="BodyText"/>
        <w:rPr>
          <w:highlight w:val="yellow"/>
        </w:rPr>
      </w:pPr>
      <w:r>
        <w:t>The compressed timeframe in which the field assessment was undertaken has meant that a sampling and ground-</w:t>
      </w:r>
      <w:proofErr w:type="spellStart"/>
      <w:r>
        <w:t>truthing</w:t>
      </w:r>
      <w:proofErr w:type="spellEnd"/>
      <w:r>
        <w:t xml:space="preserve"> approach has been taken. As such surveys may not have included all individuals, populations or communities that may be present within the site. </w:t>
      </w:r>
      <w:r w:rsidR="001E37E2">
        <w:t>A</w:t>
      </w:r>
      <w:r>
        <w:t xml:space="preserve">ny assessment of the site in support of future development </w:t>
      </w:r>
      <w:r w:rsidR="001E37E2">
        <w:t xml:space="preserve">should </w:t>
      </w:r>
      <w:r>
        <w:t xml:space="preserve">employ </w:t>
      </w:r>
      <w:proofErr w:type="gramStart"/>
      <w:r>
        <w:t>a an</w:t>
      </w:r>
      <w:proofErr w:type="gramEnd"/>
      <w:r>
        <w:t xml:space="preserve"> approach that adequately captures all ecological assets in at an appropriate level of d</w:t>
      </w:r>
      <w:r w:rsidR="001E37E2">
        <w:t>etail.</w:t>
      </w:r>
    </w:p>
    <w:p w14:paraId="480A02BB" w14:textId="54014BEA" w:rsidR="00C475E9" w:rsidRDefault="00C475E9" w:rsidP="00C475E9">
      <w:pPr>
        <w:pStyle w:val="Heading2"/>
      </w:pPr>
      <w:bookmarkStart w:id="32" w:name="_Toc400720075"/>
      <w:r>
        <w:t>Key findings</w:t>
      </w:r>
      <w:r w:rsidR="00C650F4">
        <w:t xml:space="preserve"> and information gaps</w:t>
      </w:r>
      <w:bookmarkEnd w:id="32"/>
    </w:p>
    <w:p w14:paraId="2751AC8D" w14:textId="77777777" w:rsidR="008C366C" w:rsidRDefault="008C366C" w:rsidP="008C366C">
      <w:pPr>
        <w:pStyle w:val="Heading3"/>
      </w:pPr>
      <w:r>
        <w:t>Flora</w:t>
      </w:r>
    </w:p>
    <w:p w14:paraId="24955A17" w14:textId="10ADE53F" w:rsidR="001847DF" w:rsidRDefault="001847DF" w:rsidP="005613AC">
      <w:pPr>
        <w:pStyle w:val="Subheading"/>
      </w:pPr>
      <w:r>
        <w:t>Vegetation communities</w:t>
      </w:r>
    </w:p>
    <w:p w14:paraId="0AD7B0F6" w14:textId="404B1862" w:rsidR="001847DF" w:rsidRDefault="00C00402" w:rsidP="001847DF">
      <w:pPr>
        <w:pStyle w:val="BodyText"/>
      </w:pPr>
      <w:r>
        <w:t>In terms of the existing environment, t</w:t>
      </w:r>
      <w:r w:rsidR="001847DF" w:rsidRPr="00E0628D">
        <w:t xml:space="preserve">he </w:t>
      </w:r>
      <w:r w:rsidR="001847DF" w:rsidRPr="00D44F1D">
        <w:rPr>
          <w:i/>
        </w:rPr>
        <w:t xml:space="preserve">Interpretation Guidelines for Native Vegetation </w:t>
      </w:r>
      <w:r w:rsidR="00203BBB">
        <w:rPr>
          <w:i/>
        </w:rPr>
        <w:t xml:space="preserve">Maps </w:t>
      </w:r>
      <w:r w:rsidR="001847DF" w:rsidRPr="00D44F1D">
        <w:rPr>
          <w:i/>
        </w:rPr>
        <w:t>of the Cumberland Plain</w:t>
      </w:r>
      <w:r w:rsidR="001847DF">
        <w:rPr>
          <w:i/>
        </w:rPr>
        <w:t>, Western Sydney</w:t>
      </w:r>
      <w:r w:rsidR="001847DF" w:rsidRPr="00E0628D">
        <w:t xml:space="preserve"> </w:t>
      </w:r>
      <w:r w:rsidR="001847DF">
        <w:t>(</w:t>
      </w:r>
      <w:r w:rsidR="001847DF" w:rsidRPr="00E0628D">
        <w:t>NPWS 2002) identif</w:t>
      </w:r>
      <w:r w:rsidR="001847DF">
        <w:t>y</w:t>
      </w:r>
      <w:r w:rsidR="001847DF" w:rsidRPr="00E0628D">
        <w:t xml:space="preserve"> </w:t>
      </w:r>
      <w:r w:rsidR="00AB7D75">
        <w:t>the following</w:t>
      </w:r>
      <w:r w:rsidR="001847DF" w:rsidRPr="00E0628D">
        <w:t xml:space="preserve"> native plant co</w:t>
      </w:r>
      <w:r w:rsidR="001847DF">
        <w:t>mmunities within the study area</w:t>
      </w:r>
      <w:r w:rsidR="00203BBB">
        <w:t xml:space="preserve"> (</w:t>
      </w:r>
      <w:r>
        <w:t xml:space="preserve">refer </w:t>
      </w:r>
      <w:r>
        <w:fldChar w:fldCharType="begin"/>
      </w:r>
      <w:r>
        <w:instrText xml:space="preserve"> REF _Ref401837618 \h </w:instrText>
      </w:r>
      <w:r>
        <w:fldChar w:fldCharType="separate"/>
      </w:r>
      <w:r w:rsidR="004E469D">
        <w:t xml:space="preserve">Figure </w:t>
      </w:r>
      <w:r w:rsidR="004E469D">
        <w:rPr>
          <w:noProof/>
        </w:rPr>
        <w:t>2</w:t>
      </w:r>
      <w:r w:rsidR="004E469D">
        <w:t>.</w:t>
      </w:r>
      <w:r w:rsidR="004E469D">
        <w:rPr>
          <w:noProof/>
        </w:rPr>
        <w:t>1</w:t>
      </w:r>
      <w:r>
        <w:fldChar w:fldCharType="end"/>
      </w:r>
      <w:r>
        <w:t>)</w:t>
      </w:r>
      <w:r w:rsidR="001847DF">
        <w:t>:</w:t>
      </w:r>
    </w:p>
    <w:p w14:paraId="5EAB09A5" w14:textId="77777777" w:rsidR="00AB7D75" w:rsidRDefault="00AB7D75" w:rsidP="00AB7D75">
      <w:pPr>
        <w:pStyle w:val="ListBullet"/>
      </w:pPr>
      <w:r>
        <w:t>Alluvial Woodland</w:t>
      </w:r>
    </w:p>
    <w:p w14:paraId="0FAC95C0" w14:textId="77777777" w:rsidR="001847DF" w:rsidRPr="00E0628D" w:rsidRDefault="001847DF" w:rsidP="001847DF">
      <w:pPr>
        <w:pStyle w:val="ListBullet"/>
      </w:pPr>
      <w:r>
        <w:t>Shale Plains Woodland</w:t>
      </w:r>
    </w:p>
    <w:p w14:paraId="6AF9AC0E" w14:textId="4BC17964" w:rsidR="001847DF" w:rsidRPr="00E0628D" w:rsidRDefault="004A5F66" w:rsidP="001847DF">
      <w:pPr>
        <w:pStyle w:val="ListBullet"/>
      </w:pPr>
      <w:r>
        <w:t>Shale Hills Woodland</w:t>
      </w:r>
    </w:p>
    <w:p w14:paraId="12B49E2A" w14:textId="01B5E107" w:rsidR="002F46C9" w:rsidRPr="00E0628D" w:rsidRDefault="002F46C9" w:rsidP="001847DF">
      <w:pPr>
        <w:pStyle w:val="ListBullet"/>
      </w:pPr>
      <w:r>
        <w:t>Shale–Gravel Transition Forest.</w:t>
      </w:r>
    </w:p>
    <w:p w14:paraId="4D6FBF93" w14:textId="77777777" w:rsidR="00D027A8" w:rsidRDefault="001847DF" w:rsidP="001847DF">
      <w:pPr>
        <w:pStyle w:val="BodyText"/>
      </w:pPr>
      <w:r>
        <w:t>The majority of n</w:t>
      </w:r>
      <w:r w:rsidRPr="00E0628D">
        <w:t xml:space="preserve">ative vegetation </w:t>
      </w:r>
      <w:r>
        <w:t xml:space="preserve">in the study area </w:t>
      </w:r>
      <w:r w:rsidRPr="00E0628D">
        <w:t>comprises Shale Plains Woodland in varying condition with Alluvial Woodland present along</w:t>
      </w:r>
      <w:r>
        <w:t xml:space="preserve"> Badgerys Creek and other drain</w:t>
      </w:r>
      <w:r w:rsidRPr="00E0628D">
        <w:t xml:space="preserve">age lines in the study area. </w:t>
      </w:r>
      <w:r>
        <w:t>The</w:t>
      </w:r>
      <w:r w:rsidR="00D027A8">
        <w:t xml:space="preserve"> mapping also identifies </w:t>
      </w:r>
      <w:r>
        <w:t xml:space="preserve">small areas of </w:t>
      </w:r>
      <w:r w:rsidR="00C00402">
        <w:t>Shale–Gravel</w:t>
      </w:r>
      <w:r>
        <w:t xml:space="preserve"> Transition Forest</w:t>
      </w:r>
      <w:r w:rsidR="00D027A8">
        <w:t>.</w:t>
      </w:r>
    </w:p>
    <w:p w14:paraId="544B1EFE" w14:textId="0222EAB2" w:rsidR="001847DF" w:rsidRDefault="001847DF" w:rsidP="001847DF">
      <w:pPr>
        <w:pStyle w:val="BodyText"/>
      </w:pPr>
      <w:r w:rsidRPr="00E0628D">
        <w:t xml:space="preserve">The Shale Plains Woodland and Shale Hills Woodland vegetation communities mapped in the study area meet the definition of Cumberland Plain Shale Woodlands and </w:t>
      </w:r>
      <w:r w:rsidR="00C00402">
        <w:t>Shale–Gravel</w:t>
      </w:r>
      <w:r w:rsidRPr="00E0628D">
        <w:t xml:space="preserve"> Transition Forest, a Critically Endangered Ecological Community under the EPBC Act. This vegetation is also listed as a Critically Endangered Ecological Community under the NSW TSC Act</w:t>
      </w:r>
      <w:r>
        <w:t xml:space="preserve"> (</w:t>
      </w:r>
      <w:r w:rsidRPr="00E0628D">
        <w:t>listed name</w:t>
      </w:r>
      <w:r>
        <w:t>:</w:t>
      </w:r>
      <w:r w:rsidRPr="00E0628D">
        <w:t xml:space="preserve"> Cumberland Plain Woodland in the Sydney Basin Bioregion</w:t>
      </w:r>
      <w:r>
        <w:t>).</w:t>
      </w:r>
    </w:p>
    <w:p w14:paraId="60F0C7DE" w14:textId="3F56FF2E" w:rsidR="001847DF" w:rsidRDefault="001847DF" w:rsidP="001847DF">
      <w:pPr>
        <w:pStyle w:val="BodyText"/>
      </w:pPr>
      <w:r w:rsidRPr="00E0628D">
        <w:t xml:space="preserve">Shale Plains Woodland is also equivalent to the NSW Plant Community Type </w:t>
      </w:r>
      <w:r w:rsidRPr="00E0628D">
        <w:rPr>
          <w:rFonts w:cs="Arial"/>
        </w:rPr>
        <w:t>849 Grey Box</w:t>
      </w:r>
      <w:r>
        <w:t>–</w:t>
      </w:r>
      <w:r w:rsidRPr="00E0628D">
        <w:rPr>
          <w:rFonts w:cs="Arial"/>
        </w:rPr>
        <w:t>Forest Red Gum grassy woodland on flats of the Cumberland Plain, Sydney Basin</w:t>
      </w:r>
      <w:r w:rsidRPr="00E0628D">
        <w:t xml:space="preserve"> in the NSW Vegetation Types Database (OEH 2012). Shale Hills W</w:t>
      </w:r>
      <w:r>
        <w:t>oodland is equivalent to NSW plant community type</w:t>
      </w:r>
      <w:r w:rsidRPr="00E0628D">
        <w:t xml:space="preserve"> </w:t>
      </w:r>
      <w:r>
        <w:t xml:space="preserve">(PCT) </w:t>
      </w:r>
      <w:r w:rsidRPr="00E0628D">
        <w:rPr>
          <w:rFonts w:cs="Arial"/>
        </w:rPr>
        <w:t>850 Grey Box</w:t>
      </w:r>
      <w:r>
        <w:t>–</w:t>
      </w:r>
      <w:r w:rsidRPr="00E0628D">
        <w:rPr>
          <w:rFonts w:cs="Arial"/>
        </w:rPr>
        <w:t>Forest Red Gum grassy woodland on shale of the southern Cumberland Plain, Sydney Basin.</w:t>
      </w:r>
      <w:r w:rsidRPr="00E0628D">
        <w:t xml:space="preserve"> </w:t>
      </w:r>
      <w:r w:rsidR="002F46C9">
        <w:t>Both</w:t>
      </w:r>
      <w:r w:rsidRPr="00E0628D">
        <w:t xml:space="preserve"> vegetation type</w:t>
      </w:r>
      <w:r w:rsidR="002F46C9">
        <w:t>s</w:t>
      </w:r>
      <w:r w:rsidRPr="00E0628D">
        <w:t xml:space="preserve"> occur across most of the study area. </w:t>
      </w:r>
    </w:p>
    <w:p w14:paraId="10308870" w14:textId="0C6482D9" w:rsidR="001847DF" w:rsidRDefault="001847DF" w:rsidP="001847DF">
      <w:pPr>
        <w:pStyle w:val="BodyText"/>
      </w:pPr>
      <w:r>
        <w:t>The Shale</w:t>
      </w:r>
      <w:r w:rsidR="00C00402">
        <w:t>–</w:t>
      </w:r>
      <w:r>
        <w:t xml:space="preserve">Gravel Transition Forest in the study area also </w:t>
      </w:r>
      <w:r w:rsidRPr="00E0628D">
        <w:t>meet</w:t>
      </w:r>
      <w:r>
        <w:t>s</w:t>
      </w:r>
      <w:r w:rsidRPr="00E0628D">
        <w:t xml:space="preserve"> the definition of Cumberland Plain Shale Woodlands and </w:t>
      </w:r>
      <w:r w:rsidR="00C00402">
        <w:t>Shale–Gravel</w:t>
      </w:r>
      <w:r w:rsidRPr="00E0628D">
        <w:t xml:space="preserve"> Transition Forest</w:t>
      </w:r>
      <w:r>
        <w:t xml:space="preserve"> under the EPBC Act. It is listed under the TSC Act as </w:t>
      </w:r>
      <w:r w:rsidR="00C00402">
        <w:t>Shale–Gravel</w:t>
      </w:r>
      <w:r>
        <w:t xml:space="preserve"> Transition Forest and is equivalent to NSW PCT 724 </w:t>
      </w:r>
      <w:r w:rsidRPr="00E0628D">
        <w:t>Broad-leaved Ironbark</w:t>
      </w:r>
      <w:r>
        <w:t>–</w:t>
      </w:r>
      <w:r w:rsidRPr="00E0628D">
        <w:t>Grey Box</w:t>
      </w:r>
      <w:r>
        <w:t>–</w:t>
      </w:r>
      <w:r w:rsidRPr="00541AAF">
        <w:rPr>
          <w:i/>
        </w:rPr>
        <w:t xml:space="preserve">Melaleuca </w:t>
      </w:r>
      <w:proofErr w:type="spellStart"/>
      <w:r w:rsidRPr="00541AAF">
        <w:rPr>
          <w:i/>
        </w:rPr>
        <w:t>decora</w:t>
      </w:r>
      <w:proofErr w:type="spellEnd"/>
      <w:r w:rsidRPr="00E0628D">
        <w:t xml:space="preserve"> grassy open forest on clay/gravel soils of the Cumberland Plain, Sydney Basin</w:t>
      </w:r>
      <w:r>
        <w:t>.</w:t>
      </w:r>
    </w:p>
    <w:p w14:paraId="56947DDC" w14:textId="7E8CE702" w:rsidR="001847DF" w:rsidRDefault="001847DF" w:rsidP="001847DF">
      <w:pPr>
        <w:pStyle w:val="BodyText"/>
      </w:pPr>
      <w:r w:rsidRPr="00E0628D">
        <w:t>The Alluvial Woodland vegetation mapped in the study area i</w:t>
      </w:r>
      <w:r>
        <w:t xml:space="preserve">s not listed under the EPBC </w:t>
      </w:r>
      <w:proofErr w:type="gramStart"/>
      <w:r>
        <w:t>Act,</w:t>
      </w:r>
      <w:proofErr w:type="gramEnd"/>
      <w:r w:rsidRPr="00E0628D">
        <w:t xml:space="preserve"> however it is listed at the state level under the TSC Act as River</w:t>
      </w:r>
      <w:r w:rsidR="00454358">
        <w:t>-f</w:t>
      </w:r>
      <w:r w:rsidRPr="00E0628D">
        <w:t>lat Eucalypt Forest on Coastal Floodplains of the NSW North Coast, Sydney Basin and South East Corner Bioregions.</w:t>
      </w:r>
    </w:p>
    <w:p w14:paraId="291BEF0F" w14:textId="77777777" w:rsidR="001847DF" w:rsidRDefault="001847DF" w:rsidP="005613AC">
      <w:pPr>
        <w:pStyle w:val="Subheading"/>
      </w:pPr>
      <w:r>
        <w:t>Survey findings</w:t>
      </w:r>
    </w:p>
    <w:p w14:paraId="71C2EA0A" w14:textId="20E39156" w:rsidR="004A5F66" w:rsidRDefault="004A5F66" w:rsidP="004A5F66">
      <w:pPr>
        <w:pStyle w:val="BodyText"/>
      </w:pPr>
      <w:r>
        <w:t xml:space="preserve">Field survey broadly </w:t>
      </w:r>
      <w:r w:rsidR="00500FAE">
        <w:t>agreed</w:t>
      </w:r>
      <w:r>
        <w:t xml:space="preserve"> </w:t>
      </w:r>
      <w:r w:rsidR="00500FAE">
        <w:t>with</w:t>
      </w:r>
      <w:r>
        <w:t xml:space="preserve"> the </w:t>
      </w:r>
      <w:r w:rsidR="00500FAE">
        <w:t>2002 National Parks and Wildlife Service (</w:t>
      </w:r>
      <w:r>
        <w:t>NPWS</w:t>
      </w:r>
      <w:r w:rsidR="00500FAE">
        <w:t>)</w:t>
      </w:r>
      <w:r>
        <w:t xml:space="preserve"> mapping, with most sites being confirmed as Shale Plains Woodland, or Alluvial Woodland along drainage lines. </w:t>
      </w:r>
      <w:r w:rsidR="00500FAE">
        <w:t>However, f</w:t>
      </w:r>
      <w:r>
        <w:t>or some sites, differences were noted between the mapped vegetation community and what was observed on the ground.</w:t>
      </w:r>
    </w:p>
    <w:p w14:paraId="651F7C05" w14:textId="4F3A6C15" w:rsidR="004A5F66" w:rsidRDefault="004A5F66" w:rsidP="004A5F66">
      <w:pPr>
        <w:pStyle w:val="BodyText"/>
      </w:pPr>
      <w:r>
        <w:t xml:space="preserve">The vegetation type and condition shown in Figure 4 is largely based upon existing vegetation mapping but also incorporates results of the twelve vegetation plot assessments undertaken during field survey in September 2014. </w:t>
      </w:r>
      <w:r>
        <w:fldChar w:fldCharType="begin"/>
      </w:r>
      <w:r>
        <w:instrText xml:space="preserve"> REF _Ref402440788 \h </w:instrText>
      </w:r>
      <w:r>
        <w:fldChar w:fldCharType="separate"/>
      </w:r>
      <w:r w:rsidR="004E469D">
        <w:t xml:space="preserve">Table </w:t>
      </w:r>
      <w:r w:rsidR="004E469D">
        <w:rPr>
          <w:noProof/>
        </w:rPr>
        <w:t>2</w:t>
      </w:r>
      <w:r w:rsidR="004E469D">
        <w:t>.</w:t>
      </w:r>
      <w:r w:rsidR="004E469D">
        <w:rPr>
          <w:noProof/>
        </w:rPr>
        <w:t>5</w:t>
      </w:r>
      <w:r>
        <w:fldChar w:fldCharType="end"/>
      </w:r>
      <w:r>
        <w:t xml:space="preserve"> provides a summary of these communities by condition and extent.</w:t>
      </w:r>
    </w:p>
    <w:p w14:paraId="410BF8B3" w14:textId="40DF3221" w:rsidR="004A5F66" w:rsidRDefault="004A5F66" w:rsidP="004A5F66">
      <w:pPr>
        <w:pStyle w:val="Caption"/>
        <w:ind w:left="1134" w:hanging="1134"/>
      </w:pPr>
      <w:bookmarkStart w:id="33" w:name="_Ref402440788"/>
      <w:bookmarkStart w:id="34" w:name="_Toc402442838"/>
      <w:proofErr w:type="gramStart"/>
      <w:r>
        <w:t xml:space="preserve">Table </w:t>
      </w:r>
      <w:proofErr w:type="gramEnd"/>
      <w:r w:rsidR="001C525C">
        <w:fldChar w:fldCharType="begin"/>
      </w:r>
      <w:r w:rsidR="001C525C">
        <w:instrText xml:space="preserve"> STYLEREF 1 \s </w:instrText>
      </w:r>
      <w:r w:rsidR="001C525C">
        <w:fldChar w:fldCharType="separate"/>
      </w:r>
      <w:r w:rsidR="004E469D">
        <w:rPr>
          <w:noProof/>
        </w:rPr>
        <w:t>2</w:t>
      </w:r>
      <w:r w:rsidR="001C525C">
        <w:rPr>
          <w:noProof/>
        </w:rPr>
        <w:fldChar w:fldCharType="end"/>
      </w:r>
      <w:proofErr w:type="gramStart"/>
      <w:r>
        <w:t>.</w:t>
      </w:r>
      <w:proofErr w:type="gramEnd"/>
      <w:r w:rsidR="001C525C">
        <w:fldChar w:fldCharType="begin"/>
      </w:r>
      <w:r w:rsidR="001C525C">
        <w:instrText xml:space="preserve"> SEQ Table \* ARABIC \s 1 </w:instrText>
      </w:r>
      <w:r w:rsidR="001C525C">
        <w:fldChar w:fldCharType="separate"/>
      </w:r>
      <w:r w:rsidR="004E469D">
        <w:rPr>
          <w:noProof/>
        </w:rPr>
        <w:t>5</w:t>
      </w:r>
      <w:r w:rsidR="001C525C">
        <w:rPr>
          <w:noProof/>
        </w:rPr>
        <w:fldChar w:fldCharType="end"/>
      </w:r>
      <w:bookmarkEnd w:id="33"/>
      <w:r>
        <w:tab/>
      </w:r>
      <w:r w:rsidR="0081676E">
        <w:t xml:space="preserve">Condition and extent of vegetation communities within the </w:t>
      </w:r>
      <w:r>
        <w:t xml:space="preserve">Commonwealth </w:t>
      </w:r>
      <w:r w:rsidR="0081676E">
        <w:t>land</w:t>
      </w:r>
      <w:bookmarkEnd w:id="34"/>
    </w:p>
    <w:tbl>
      <w:tblPr>
        <w:tblStyle w:val="TableGrid"/>
        <w:tblW w:w="9180" w:type="dxa"/>
        <w:tblBorders>
          <w:bottom w:val="single" w:sz="4" w:space="0" w:color="auto"/>
        </w:tblBorders>
        <w:tblLook w:val="04A0" w:firstRow="1" w:lastRow="0" w:firstColumn="1" w:lastColumn="0" w:noHBand="0" w:noVBand="1"/>
        <w:tblCaption w:val="Table 2.5 Condition and extent of vegetation communities within the Commonwealth land"/>
        <w:tblDescription w:val="Table 2.5 Condition and extent of vegetation communities within the Commonwealth land"/>
      </w:tblPr>
      <w:tblGrid>
        <w:gridCol w:w="5920"/>
        <w:gridCol w:w="3260"/>
      </w:tblGrid>
      <w:tr w:rsidR="004A5F66" w:rsidRPr="007A4848" w14:paraId="19CA9A1D" w14:textId="77777777" w:rsidTr="00151EBE">
        <w:trPr>
          <w:trHeight w:val="340"/>
          <w:tblHeader/>
        </w:trPr>
        <w:tc>
          <w:tcPr>
            <w:tcW w:w="5920" w:type="dxa"/>
          </w:tcPr>
          <w:p w14:paraId="0350BEA7" w14:textId="1423DAC7" w:rsidR="004A5F66" w:rsidRPr="007A4848" w:rsidRDefault="004A5F66" w:rsidP="004A5F66">
            <w:pPr>
              <w:pStyle w:val="TableHeader"/>
            </w:pPr>
            <w:r>
              <w:t>Vegetation community / Condition</w:t>
            </w:r>
          </w:p>
        </w:tc>
        <w:tc>
          <w:tcPr>
            <w:tcW w:w="3260" w:type="dxa"/>
          </w:tcPr>
          <w:p w14:paraId="0864B042" w14:textId="1AFA1D53" w:rsidR="004A5F66" w:rsidRPr="007A4848" w:rsidRDefault="004A5F66" w:rsidP="004A5F66">
            <w:pPr>
              <w:pStyle w:val="TableHeader"/>
              <w:jc w:val="center"/>
            </w:pPr>
            <w:r>
              <w:t>Area (ha)</w:t>
            </w:r>
          </w:p>
        </w:tc>
      </w:tr>
      <w:tr w:rsidR="0081676E" w:rsidRPr="00F06DBB" w14:paraId="7DB718E3" w14:textId="77777777" w:rsidTr="00183087">
        <w:trPr>
          <w:trHeight w:val="340"/>
        </w:trPr>
        <w:tc>
          <w:tcPr>
            <w:tcW w:w="5920" w:type="dxa"/>
          </w:tcPr>
          <w:p w14:paraId="26D6AD8A" w14:textId="77777777" w:rsidR="0081676E" w:rsidRDefault="0081676E" w:rsidP="00183087">
            <w:pPr>
              <w:pStyle w:val="TableBody"/>
            </w:pPr>
            <w:r>
              <w:t>Alluvial Woodland / Moderate-Good</w:t>
            </w:r>
          </w:p>
        </w:tc>
        <w:tc>
          <w:tcPr>
            <w:tcW w:w="3260" w:type="dxa"/>
          </w:tcPr>
          <w:p w14:paraId="14CC53CA" w14:textId="77777777" w:rsidR="0081676E" w:rsidRDefault="0081676E" w:rsidP="00183087">
            <w:pPr>
              <w:pStyle w:val="TableBody"/>
              <w:jc w:val="center"/>
            </w:pPr>
            <w:r>
              <w:t>43.0</w:t>
            </w:r>
          </w:p>
        </w:tc>
      </w:tr>
      <w:tr w:rsidR="0081676E" w:rsidRPr="00F06DBB" w14:paraId="3B4277FC" w14:textId="77777777" w:rsidTr="00183087">
        <w:trPr>
          <w:trHeight w:val="340"/>
        </w:trPr>
        <w:tc>
          <w:tcPr>
            <w:tcW w:w="5920" w:type="dxa"/>
          </w:tcPr>
          <w:p w14:paraId="7442B89E" w14:textId="77777777" w:rsidR="0081676E" w:rsidRDefault="0081676E" w:rsidP="00183087">
            <w:pPr>
              <w:pStyle w:val="TableBody"/>
            </w:pPr>
            <w:r>
              <w:t>Alluvial Woodland / Poor</w:t>
            </w:r>
          </w:p>
        </w:tc>
        <w:tc>
          <w:tcPr>
            <w:tcW w:w="3260" w:type="dxa"/>
          </w:tcPr>
          <w:p w14:paraId="3EB184DA" w14:textId="77777777" w:rsidR="0081676E" w:rsidRDefault="0081676E" w:rsidP="00183087">
            <w:pPr>
              <w:pStyle w:val="TableBody"/>
              <w:jc w:val="center"/>
            </w:pPr>
            <w:r>
              <w:t>38.7</w:t>
            </w:r>
          </w:p>
        </w:tc>
      </w:tr>
      <w:tr w:rsidR="0081676E" w:rsidRPr="00F06DBB" w14:paraId="0481EBC4" w14:textId="77777777" w:rsidTr="00183087">
        <w:trPr>
          <w:trHeight w:val="340"/>
        </w:trPr>
        <w:tc>
          <w:tcPr>
            <w:tcW w:w="5920" w:type="dxa"/>
          </w:tcPr>
          <w:p w14:paraId="31CEA4CF" w14:textId="77777777" w:rsidR="0081676E" w:rsidRDefault="0081676E" w:rsidP="00183087">
            <w:pPr>
              <w:pStyle w:val="TableBody"/>
            </w:pPr>
            <w:r>
              <w:t>Moist Shale Woodland / Moderate-Good</w:t>
            </w:r>
          </w:p>
        </w:tc>
        <w:tc>
          <w:tcPr>
            <w:tcW w:w="3260" w:type="dxa"/>
          </w:tcPr>
          <w:p w14:paraId="5F957A4E" w14:textId="77777777" w:rsidR="0081676E" w:rsidRDefault="0081676E" w:rsidP="00183087">
            <w:pPr>
              <w:pStyle w:val="TableBody"/>
              <w:jc w:val="center"/>
            </w:pPr>
            <w:r>
              <w:t>13.5</w:t>
            </w:r>
          </w:p>
        </w:tc>
      </w:tr>
      <w:tr w:rsidR="0081676E" w:rsidRPr="00F06DBB" w14:paraId="26E2103F" w14:textId="77777777" w:rsidTr="00183087">
        <w:trPr>
          <w:trHeight w:val="340"/>
        </w:trPr>
        <w:tc>
          <w:tcPr>
            <w:tcW w:w="5920" w:type="dxa"/>
          </w:tcPr>
          <w:p w14:paraId="74FB5184" w14:textId="77777777" w:rsidR="0081676E" w:rsidRDefault="0081676E" w:rsidP="00183087">
            <w:pPr>
              <w:pStyle w:val="TableBody"/>
            </w:pPr>
            <w:r>
              <w:t>Shale-Gravel Transitional Forest / Moderate-Good</w:t>
            </w:r>
          </w:p>
        </w:tc>
        <w:tc>
          <w:tcPr>
            <w:tcW w:w="3260" w:type="dxa"/>
          </w:tcPr>
          <w:p w14:paraId="687335C1" w14:textId="77777777" w:rsidR="0081676E" w:rsidRDefault="0081676E" w:rsidP="00183087">
            <w:pPr>
              <w:pStyle w:val="TableBody"/>
              <w:jc w:val="center"/>
            </w:pPr>
            <w:r>
              <w:t>5.2</w:t>
            </w:r>
          </w:p>
        </w:tc>
      </w:tr>
      <w:tr w:rsidR="0081676E" w:rsidRPr="00F06DBB" w14:paraId="7218D782" w14:textId="77777777" w:rsidTr="00183087">
        <w:trPr>
          <w:trHeight w:val="340"/>
        </w:trPr>
        <w:tc>
          <w:tcPr>
            <w:tcW w:w="5920" w:type="dxa"/>
          </w:tcPr>
          <w:p w14:paraId="49960047" w14:textId="77777777" w:rsidR="0081676E" w:rsidRDefault="0081676E" w:rsidP="00183087">
            <w:pPr>
              <w:pStyle w:val="TableBody"/>
            </w:pPr>
            <w:r>
              <w:t>Shale-Gravel Transitional Forest / Poor</w:t>
            </w:r>
          </w:p>
        </w:tc>
        <w:tc>
          <w:tcPr>
            <w:tcW w:w="3260" w:type="dxa"/>
          </w:tcPr>
          <w:p w14:paraId="1A9570E6" w14:textId="77777777" w:rsidR="0081676E" w:rsidRDefault="0081676E" w:rsidP="00183087">
            <w:pPr>
              <w:pStyle w:val="TableBody"/>
              <w:jc w:val="center"/>
            </w:pPr>
            <w:r>
              <w:t>3.9</w:t>
            </w:r>
          </w:p>
        </w:tc>
      </w:tr>
      <w:tr w:rsidR="0081676E" w:rsidRPr="00F06DBB" w14:paraId="485FE919" w14:textId="77777777" w:rsidTr="00183087">
        <w:trPr>
          <w:trHeight w:val="340"/>
        </w:trPr>
        <w:tc>
          <w:tcPr>
            <w:tcW w:w="5920" w:type="dxa"/>
          </w:tcPr>
          <w:p w14:paraId="3E1079A8" w14:textId="77777777" w:rsidR="0081676E" w:rsidRDefault="0081676E" w:rsidP="00183087">
            <w:pPr>
              <w:pStyle w:val="TableBody"/>
            </w:pPr>
            <w:r>
              <w:t>Shale Hills Woodland / Moderate-Good</w:t>
            </w:r>
          </w:p>
        </w:tc>
        <w:tc>
          <w:tcPr>
            <w:tcW w:w="3260" w:type="dxa"/>
          </w:tcPr>
          <w:p w14:paraId="1917FD5F" w14:textId="77777777" w:rsidR="0081676E" w:rsidRDefault="0081676E" w:rsidP="00183087">
            <w:pPr>
              <w:pStyle w:val="TableBody"/>
              <w:jc w:val="center"/>
            </w:pPr>
            <w:r>
              <w:t>54.0</w:t>
            </w:r>
          </w:p>
        </w:tc>
      </w:tr>
      <w:tr w:rsidR="0081676E" w:rsidRPr="00F06DBB" w14:paraId="1B307C24" w14:textId="77777777" w:rsidTr="00183087">
        <w:trPr>
          <w:trHeight w:val="340"/>
        </w:trPr>
        <w:tc>
          <w:tcPr>
            <w:tcW w:w="5920" w:type="dxa"/>
          </w:tcPr>
          <w:p w14:paraId="227E37C7" w14:textId="77777777" w:rsidR="0081676E" w:rsidRDefault="0081676E" w:rsidP="00183087">
            <w:pPr>
              <w:pStyle w:val="TableBody"/>
            </w:pPr>
            <w:r>
              <w:t>Shale Hills Woodland / Poor</w:t>
            </w:r>
          </w:p>
        </w:tc>
        <w:tc>
          <w:tcPr>
            <w:tcW w:w="3260" w:type="dxa"/>
          </w:tcPr>
          <w:p w14:paraId="5F2EA302" w14:textId="77777777" w:rsidR="0081676E" w:rsidRDefault="0081676E" w:rsidP="00183087">
            <w:pPr>
              <w:pStyle w:val="TableBody"/>
              <w:jc w:val="center"/>
            </w:pPr>
            <w:r>
              <w:t>74.3</w:t>
            </w:r>
          </w:p>
        </w:tc>
      </w:tr>
      <w:tr w:rsidR="004A5F66" w:rsidRPr="00F06DBB" w14:paraId="261E0B48" w14:textId="77777777" w:rsidTr="004A5F66">
        <w:trPr>
          <w:trHeight w:val="340"/>
        </w:trPr>
        <w:tc>
          <w:tcPr>
            <w:tcW w:w="5920" w:type="dxa"/>
          </w:tcPr>
          <w:p w14:paraId="0C86FE9D" w14:textId="3E8CCD6C" w:rsidR="004A5F66" w:rsidRPr="00F06DBB" w:rsidRDefault="004A5F66" w:rsidP="00183087">
            <w:pPr>
              <w:pStyle w:val="TableBody"/>
            </w:pPr>
            <w:r>
              <w:t>Shale Plains Woodland / Moderate-Good</w:t>
            </w:r>
          </w:p>
        </w:tc>
        <w:tc>
          <w:tcPr>
            <w:tcW w:w="3260" w:type="dxa"/>
          </w:tcPr>
          <w:p w14:paraId="5ACA835A" w14:textId="3AB18CDD" w:rsidR="004A5F66" w:rsidRPr="00F06DBB" w:rsidRDefault="004A5F66" w:rsidP="004A5F66">
            <w:pPr>
              <w:pStyle w:val="TableBody"/>
              <w:jc w:val="center"/>
            </w:pPr>
            <w:r>
              <w:t>88.6</w:t>
            </w:r>
          </w:p>
        </w:tc>
      </w:tr>
      <w:tr w:rsidR="004A5F66" w:rsidRPr="00F06DBB" w14:paraId="04A6F720" w14:textId="77777777" w:rsidTr="004A5F66">
        <w:trPr>
          <w:trHeight w:val="340"/>
        </w:trPr>
        <w:tc>
          <w:tcPr>
            <w:tcW w:w="5920" w:type="dxa"/>
          </w:tcPr>
          <w:p w14:paraId="1DD9BB2C" w14:textId="4B13BE83" w:rsidR="004A5F66" w:rsidRDefault="004A5F66" w:rsidP="004A5F66">
            <w:pPr>
              <w:pStyle w:val="TableBody"/>
            </w:pPr>
            <w:r>
              <w:t>Shale Plains Woodland / Poor</w:t>
            </w:r>
          </w:p>
        </w:tc>
        <w:tc>
          <w:tcPr>
            <w:tcW w:w="3260" w:type="dxa"/>
          </w:tcPr>
          <w:p w14:paraId="44EE4A58" w14:textId="4F8096C8" w:rsidR="004A5F66" w:rsidRDefault="004A5F66" w:rsidP="004A5F66">
            <w:pPr>
              <w:pStyle w:val="TableBody"/>
              <w:jc w:val="center"/>
            </w:pPr>
            <w:r>
              <w:t>115.5</w:t>
            </w:r>
          </w:p>
        </w:tc>
      </w:tr>
    </w:tbl>
    <w:p w14:paraId="03E5C521" w14:textId="77777777" w:rsidR="004A5F66" w:rsidRDefault="004A5F66" w:rsidP="001847DF">
      <w:pPr>
        <w:pStyle w:val="BodyText"/>
      </w:pPr>
    </w:p>
    <w:p w14:paraId="2FAECDA5" w14:textId="795587B1" w:rsidR="001847DF" w:rsidRDefault="001847DF" w:rsidP="00500FAE">
      <w:pPr>
        <w:pStyle w:val="BodyText"/>
        <w:spacing w:before="0"/>
      </w:pPr>
      <w:r>
        <w:t>The findings of the field survey with regard to flora are summarised as follows:</w:t>
      </w:r>
    </w:p>
    <w:p w14:paraId="304E6159" w14:textId="581AA6A5" w:rsidR="00360503" w:rsidRDefault="00360503" w:rsidP="00360503">
      <w:pPr>
        <w:pStyle w:val="ListBullet"/>
      </w:pPr>
      <w:r>
        <w:t>EPBC Act:</w:t>
      </w:r>
    </w:p>
    <w:p w14:paraId="49F950A0" w14:textId="3057A835" w:rsidR="00360503" w:rsidRDefault="007A055C" w:rsidP="00360503">
      <w:pPr>
        <w:pStyle w:val="ListBullet2"/>
      </w:pPr>
      <w:r>
        <w:t>t</w:t>
      </w:r>
      <w:r w:rsidR="00360503">
        <w:t>wo endangered ecological communities occur within the Commonwealth land at Badgerys Creek</w:t>
      </w:r>
      <w:r w:rsidR="003D10A5">
        <w:t xml:space="preserve"> (Cumberland Plain Shale Woodlands and Shale–Gravel Transition Forest, Western Sydney Dry Rainforest and Moist Woodland on Shale)</w:t>
      </w:r>
    </w:p>
    <w:p w14:paraId="7C96D3ED" w14:textId="0B5BD43D" w:rsidR="00360503" w:rsidRDefault="007A055C" w:rsidP="00360503">
      <w:pPr>
        <w:pStyle w:val="ListBullet2"/>
      </w:pPr>
      <w:r>
        <w:t>f</w:t>
      </w:r>
      <w:r w:rsidR="00360503">
        <w:t xml:space="preserve">our individuals of </w:t>
      </w:r>
      <w:proofErr w:type="spellStart"/>
      <w:r w:rsidR="00360503" w:rsidRPr="00360503">
        <w:rPr>
          <w:i/>
        </w:rPr>
        <w:t>Pultenaea</w:t>
      </w:r>
      <w:proofErr w:type="spellEnd"/>
      <w:r w:rsidR="00360503" w:rsidRPr="00360503">
        <w:rPr>
          <w:i/>
        </w:rPr>
        <w:t xml:space="preserve"> </w:t>
      </w:r>
      <w:proofErr w:type="spellStart"/>
      <w:r w:rsidR="00360503" w:rsidRPr="00360503">
        <w:rPr>
          <w:i/>
        </w:rPr>
        <w:t>parviflora</w:t>
      </w:r>
      <w:proofErr w:type="spellEnd"/>
      <w:r w:rsidR="00360503">
        <w:t xml:space="preserve"> were recorded on the southern side of </w:t>
      </w:r>
      <w:proofErr w:type="spellStart"/>
      <w:r w:rsidR="00360503">
        <w:t>Longleys</w:t>
      </w:r>
      <w:proofErr w:type="spellEnd"/>
      <w:r w:rsidR="00360503">
        <w:t xml:space="preserve"> Road between Ferndale </w:t>
      </w:r>
      <w:r w:rsidR="00C822A6">
        <w:t xml:space="preserve">Roads </w:t>
      </w:r>
      <w:r w:rsidR="00360503">
        <w:t>and Taylors Road (</w:t>
      </w:r>
      <w:r w:rsidR="00C822A6">
        <w:t xml:space="preserve">refer </w:t>
      </w:r>
      <w:r w:rsidR="00C822A6">
        <w:fldChar w:fldCharType="begin"/>
      </w:r>
      <w:r w:rsidR="00C822A6">
        <w:instrText xml:space="preserve"> REF _Ref401925457 \h </w:instrText>
      </w:r>
      <w:r w:rsidR="00C822A6">
        <w:fldChar w:fldCharType="separate"/>
      </w:r>
      <w:r w:rsidR="004E469D">
        <w:t xml:space="preserve">Figure </w:t>
      </w:r>
      <w:r w:rsidR="004E469D">
        <w:rPr>
          <w:noProof/>
        </w:rPr>
        <w:t>2</w:t>
      </w:r>
      <w:r w:rsidR="004E469D">
        <w:t>.</w:t>
      </w:r>
      <w:r w:rsidR="004E469D">
        <w:rPr>
          <w:noProof/>
        </w:rPr>
        <w:t>4</w:t>
      </w:r>
      <w:r w:rsidR="00C822A6">
        <w:fldChar w:fldCharType="end"/>
      </w:r>
      <w:r w:rsidR="00C822A6">
        <w:t xml:space="preserve">); </w:t>
      </w:r>
      <w:r w:rsidR="00360503">
        <w:t>this is a significant reduction from the 68</w:t>
      </w:r>
      <w:r w:rsidR="00C822A6">
        <w:t xml:space="preserve"> </w:t>
      </w:r>
      <w:r w:rsidR="00360503">
        <w:t xml:space="preserve">individuals previously recorded along both sides of </w:t>
      </w:r>
      <w:proofErr w:type="spellStart"/>
      <w:r w:rsidR="00360503">
        <w:t>Longleys</w:t>
      </w:r>
      <w:proofErr w:type="spellEnd"/>
      <w:r w:rsidR="00360503">
        <w:t xml:space="preserve"> Road in this location since the 1</w:t>
      </w:r>
      <w:r w:rsidR="00C822A6">
        <w:t>999 Supplement to the Draft EIS</w:t>
      </w:r>
    </w:p>
    <w:p w14:paraId="77CC8939" w14:textId="14A1369C" w:rsidR="00360503" w:rsidRDefault="007A055C" w:rsidP="00AB7D75">
      <w:pPr>
        <w:pStyle w:val="ListBullet2"/>
      </w:pPr>
      <w:r>
        <w:t>n</w:t>
      </w:r>
      <w:r w:rsidR="00360503">
        <w:t>o other threatened flora species were recorded on site, however, potential habitat exists for a further five threatened flora species listed under the EPBC Act</w:t>
      </w:r>
      <w:r w:rsidR="00AB7D75">
        <w:t xml:space="preserve"> (</w:t>
      </w:r>
      <w:r w:rsidR="00AB7D75" w:rsidRPr="00AB7D75">
        <w:rPr>
          <w:i/>
        </w:rPr>
        <w:t xml:space="preserve">Acacia </w:t>
      </w:r>
      <w:proofErr w:type="spellStart"/>
      <w:r w:rsidR="00AB7D75" w:rsidRPr="00AB7D75">
        <w:rPr>
          <w:i/>
        </w:rPr>
        <w:t>pubescens</w:t>
      </w:r>
      <w:proofErr w:type="spellEnd"/>
      <w:r w:rsidR="00AB7D75" w:rsidRPr="00AB7D75">
        <w:t xml:space="preserve">, </w:t>
      </w:r>
      <w:proofErr w:type="spellStart"/>
      <w:r w:rsidR="00AB7D75" w:rsidRPr="00AB7D75">
        <w:rPr>
          <w:i/>
        </w:rPr>
        <w:t>Cynanchum</w:t>
      </w:r>
      <w:proofErr w:type="spellEnd"/>
      <w:r w:rsidR="00AB7D75" w:rsidRPr="00AB7D75">
        <w:rPr>
          <w:i/>
        </w:rPr>
        <w:t xml:space="preserve"> </w:t>
      </w:r>
      <w:proofErr w:type="spellStart"/>
      <w:r w:rsidR="00AB7D75" w:rsidRPr="00AB7D75">
        <w:rPr>
          <w:i/>
        </w:rPr>
        <w:t>elegans</w:t>
      </w:r>
      <w:proofErr w:type="spellEnd"/>
      <w:r w:rsidR="00AB7D75" w:rsidRPr="00AB7D75">
        <w:t xml:space="preserve">, </w:t>
      </w:r>
      <w:r w:rsidR="00AB7D75" w:rsidRPr="00AB7D75">
        <w:rPr>
          <w:i/>
        </w:rPr>
        <w:t xml:space="preserve">Grevillea </w:t>
      </w:r>
      <w:proofErr w:type="spellStart"/>
      <w:r w:rsidR="00AB7D75" w:rsidRPr="00AB7D75">
        <w:rPr>
          <w:i/>
        </w:rPr>
        <w:t>parviflora</w:t>
      </w:r>
      <w:proofErr w:type="spellEnd"/>
      <w:r w:rsidR="00AB7D75" w:rsidRPr="00AB7D75">
        <w:rPr>
          <w:i/>
        </w:rPr>
        <w:t xml:space="preserve"> </w:t>
      </w:r>
      <w:r w:rsidR="00AB7D75" w:rsidRPr="00454358">
        <w:t>subsp</w:t>
      </w:r>
      <w:r w:rsidR="00AB7D75" w:rsidRPr="00AB7D75">
        <w:rPr>
          <w:i/>
        </w:rPr>
        <w:t xml:space="preserve">. </w:t>
      </w:r>
      <w:proofErr w:type="spellStart"/>
      <w:r w:rsidR="00AB7D75" w:rsidRPr="00AB7D75">
        <w:rPr>
          <w:i/>
        </w:rPr>
        <w:t>parviflora</w:t>
      </w:r>
      <w:proofErr w:type="spellEnd"/>
      <w:r w:rsidR="00AB7D75" w:rsidRPr="00AB7D75">
        <w:t>,</w:t>
      </w:r>
      <w:r w:rsidR="00AB7D75" w:rsidRPr="00AB7D75">
        <w:rPr>
          <w:i/>
        </w:rPr>
        <w:t xml:space="preserve"> </w:t>
      </w:r>
      <w:proofErr w:type="spellStart"/>
      <w:r w:rsidR="00AB7D75" w:rsidRPr="00AB7D75">
        <w:rPr>
          <w:i/>
        </w:rPr>
        <w:t>Isotoma</w:t>
      </w:r>
      <w:proofErr w:type="spellEnd"/>
      <w:r w:rsidR="00AB7D75" w:rsidRPr="00AB7D75">
        <w:rPr>
          <w:i/>
        </w:rPr>
        <w:t xml:space="preserve"> </w:t>
      </w:r>
      <w:proofErr w:type="spellStart"/>
      <w:r w:rsidR="00AB7D75" w:rsidRPr="00AB7D75">
        <w:rPr>
          <w:i/>
        </w:rPr>
        <w:t>sessiliflora</w:t>
      </w:r>
      <w:proofErr w:type="spellEnd"/>
      <w:r w:rsidR="00AB7D75">
        <w:rPr>
          <w:i/>
        </w:rPr>
        <w:t xml:space="preserve">, </w:t>
      </w:r>
      <w:proofErr w:type="spellStart"/>
      <w:r w:rsidR="00AB7D75" w:rsidRPr="00AB7D75">
        <w:rPr>
          <w:i/>
        </w:rPr>
        <w:t>Pimelea</w:t>
      </w:r>
      <w:proofErr w:type="spellEnd"/>
      <w:r w:rsidR="00AB7D75" w:rsidRPr="00AB7D75">
        <w:rPr>
          <w:i/>
        </w:rPr>
        <w:t xml:space="preserve"> </w:t>
      </w:r>
      <w:proofErr w:type="spellStart"/>
      <w:r w:rsidR="00AB7D75" w:rsidRPr="00AB7D75">
        <w:rPr>
          <w:i/>
        </w:rPr>
        <w:t>spicata</w:t>
      </w:r>
      <w:proofErr w:type="spellEnd"/>
      <w:r w:rsidR="00AB7D75">
        <w:t>)</w:t>
      </w:r>
    </w:p>
    <w:p w14:paraId="7CB9462A" w14:textId="46AFA00C" w:rsidR="00360503" w:rsidRDefault="00360503" w:rsidP="00AF0095">
      <w:pPr>
        <w:pStyle w:val="ListBullet"/>
      </w:pPr>
      <w:r>
        <w:t>TSC Act:</w:t>
      </w:r>
    </w:p>
    <w:p w14:paraId="667621A0" w14:textId="57574248" w:rsidR="00360503" w:rsidRDefault="007A055C" w:rsidP="00360503">
      <w:pPr>
        <w:pStyle w:val="ListBullet2"/>
      </w:pPr>
      <w:r>
        <w:t>f</w:t>
      </w:r>
      <w:r w:rsidR="00454358">
        <w:t>our</w:t>
      </w:r>
      <w:r w:rsidR="00360503">
        <w:t xml:space="preserve"> endangered ecological community occur within the Commonwealth land at Badgerys Creek</w:t>
      </w:r>
      <w:r w:rsidR="003D10A5">
        <w:t xml:space="preserve"> (</w:t>
      </w:r>
      <w:r w:rsidR="00454358">
        <w:t xml:space="preserve">Cumberland Plain Woodland, Shale Gravel Transition Forest, </w:t>
      </w:r>
      <w:r w:rsidR="00454358" w:rsidRPr="00AB7D75">
        <w:t>Moist Shale Woodland</w:t>
      </w:r>
      <w:r w:rsidR="00454358">
        <w:t xml:space="preserve">, </w:t>
      </w:r>
      <w:r w:rsidR="003D10A5">
        <w:t>River-flat Eucalypt Forest on Coastal Floodplains)</w:t>
      </w:r>
    </w:p>
    <w:p w14:paraId="7EE8F459" w14:textId="32D90A11" w:rsidR="00500FAE" w:rsidRDefault="007A055C" w:rsidP="00360503">
      <w:pPr>
        <w:pStyle w:val="ListBullet2"/>
      </w:pPr>
      <w:r>
        <w:t>o</w:t>
      </w:r>
      <w:r w:rsidR="00360503">
        <w:t xml:space="preserve">ne individual of </w:t>
      </w:r>
      <w:proofErr w:type="spellStart"/>
      <w:r w:rsidR="00360503" w:rsidRPr="00500FAE">
        <w:rPr>
          <w:i/>
        </w:rPr>
        <w:t>Marsdenia</w:t>
      </w:r>
      <w:proofErr w:type="spellEnd"/>
      <w:r w:rsidR="00360503" w:rsidRPr="00500FAE">
        <w:rPr>
          <w:i/>
        </w:rPr>
        <w:t xml:space="preserve"> </w:t>
      </w:r>
      <w:proofErr w:type="spellStart"/>
      <w:r w:rsidR="00360503" w:rsidRPr="00500FAE">
        <w:rPr>
          <w:i/>
        </w:rPr>
        <w:t>viridiflora</w:t>
      </w:r>
      <w:proofErr w:type="spellEnd"/>
      <w:r w:rsidR="00360503">
        <w:t xml:space="preserve"> (within the extent of the endangered population) was recorded along the eastern side of Badgerys Cre</w:t>
      </w:r>
      <w:r w:rsidR="00203BBB">
        <w:t>ek, just north of Gardiner Road</w:t>
      </w:r>
      <w:r w:rsidR="00500FAE">
        <w:br w:type="page"/>
      </w:r>
    </w:p>
    <w:p w14:paraId="0B9E683E" w14:textId="2448DBE5" w:rsidR="00500FAE" w:rsidRDefault="006C12A9" w:rsidP="003F2F7F">
      <w:pPr>
        <w:pStyle w:val="BodyText"/>
        <w:ind w:left="-142"/>
        <w:jc w:val="center"/>
      </w:pPr>
      <w:r>
        <w:rPr>
          <w:noProof/>
          <w:lang w:eastAsia="en-AU"/>
        </w:rPr>
        <w:drawing>
          <wp:inline distT="0" distB="0" distL="0" distR="0" wp14:anchorId="1A28AD85" wp14:editId="3607BCF7">
            <wp:extent cx="5800725" cy="8543371"/>
            <wp:effectExtent l="0" t="0" r="0" b="0"/>
            <wp:docPr id="6" name="Picture 6" descr="Figure 2.3 Vegetation communities and condition" title="Figure 2.3 Vegetation communities and cond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 Veg comm.jpg"/>
                    <pic:cNvPicPr/>
                  </pic:nvPicPr>
                  <pic:blipFill rotWithShape="1">
                    <a:blip r:embed="rId25">
                      <a:extLst>
                        <a:ext uri="{28A0092B-C50C-407E-A947-70E740481C1C}">
                          <a14:useLocalDpi xmlns:a14="http://schemas.microsoft.com/office/drawing/2010/main" val="0"/>
                        </a:ext>
                      </a:extLst>
                    </a:blip>
                    <a:srcRect/>
                    <a:stretch/>
                  </pic:blipFill>
                  <pic:spPr bwMode="auto">
                    <a:xfrm>
                      <a:off x="0" y="0"/>
                      <a:ext cx="5805693" cy="8550688"/>
                    </a:xfrm>
                    <a:prstGeom prst="rect">
                      <a:avLst/>
                    </a:prstGeom>
                    <a:ln>
                      <a:noFill/>
                    </a:ln>
                    <a:extLst>
                      <a:ext uri="{53640926-AAD7-44D8-BBD7-CCE9431645EC}">
                        <a14:shadowObscured xmlns:a14="http://schemas.microsoft.com/office/drawing/2010/main"/>
                      </a:ext>
                    </a:extLst>
                  </pic:spPr>
                </pic:pic>
              </a:graphicData>
            </a:graphic>
          </wp:inline>
        </w:drawing>
      </w:r>
    </w:p>
    <w:p w14:paraId="5F560623" w14:textId="30085D65" w:rsidR="00500FAE" w:rsidRDefault="00500FAE" w:rsidP="00500FAE">
      <w:pPr>
        <w:pStyle w:val="Caption"/>
        <w:ind w:left="1134" w:hanging="1134"/>
      </w:pPr>
      <w:bookmarkStart w:id="35" w:name="_Toc402441358"/>
      <w:proofErr w:type="gramStart"/>
      <w:r>
        <w:t xml:space="preserve">Figure </w:t>
      </w:r>
      <w:proofErr w:type="gramEnd"/>
      <w:r w:rsidR="001C525C">
        <w:fldChar w:fldCharType="begin"/>
      </w:r>
      <w:r w:rsidR="001C525C">
        <w:instrText xml:space="preserve"> STYLEREF 1 \s </w:instrText>
      </w:r>
      <w:r w:rsidR="001C525C">
        <w:fldChar w:fldCharType="separate"/>
      </w:r>
      <w:r w:rsidR="004E469D">
        <w:rPr>
          <w:noProof/>
        </w:rPr>
        <w:t>2</w:t>
      </w:r>
      <w:r w:rsidR="001C525C">
        <w:rPr>
          <w:noProof/>
        </w:rPr>
        <w:fldChar w:fldCharType="end"/>
      </w:r>
      <w:proofErr w:type="gramStart"/>
      <w:r>
        <w:t>.</w:t>
      </w:r>
      <w:proofErr w:type="gramEnd"/>
      <w:r w:rsidR="001C525C">
        <w:fldChar w:fldCharType="begin"/>
      </w:r>
      <w:r w:rsidR="001C525C">
        <w:instrText xml:space="preserve"> SEQ Figure \* ARABIC \s 1 </w:instrText>
      </w:r>
      <w:r w:rsidR="001C525C">
        <w:fldChar w:fldCharType="separate"/>
      </w:r>
      <w:r w:rsidR="004E469D">
        <w:rPr>
          <w:noProof/>
        </w:rPr>
        <w:t>3</w:t>
      </w:r>
      <w:r w:rsidR="001C525C">
        <w:rPr>
          <w:noProof/>
        </w:rPr>
        <w:fldChar w:fldCharType="end"/>
      </w:r>
      <w:r>
        <w:tab/>
      </w:r>
      <w:r w:rsidRPr="00500FAE">
        <w:t>Vegetation communities and condition</w:t>
      </w:r>
      <w:bookmarkEnd w:id="35"/>
    </w:p>
    <w:p w14:paraId="16B655FD" w14:textId="40DE569F" w:rsidR="00500FAE" w:rsidRDefault="006C12A9" w:rsidP="003F2F7F">
      <w:pPr>
        <w:pStyle w:val="BodyText"/>
        <w:ind w:left="-142"/>
        <w:jc w:val="center"/>
      </w:pPr>
      <w:r>
        <w:rPr>
          <w:noProof/>
          <w:lang w:eastAsia="en-AU"/>
        </w:rPr>
        <w:drawing>
          <wp:inline distT="0" distB="0" distL="0" distR="0" wp14:anchorId="2CADE037" wp14:editId="6BBE08DB">
            <wp:extent cx="5791200" cy="8569711"/>
            <wp:effectExtent l="0" t="0" r="0" b="3175"/>
            <wp:docPr id="8" name="Picture 8" descr="Figure 2.4 Pultenaea parviflora and Marsdenia viridiflora subsp. viridiflora" title="Figure 2.4 Pultenaea parviflora and Marsdenia viridiflora subsp. viridiflo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 Pultenaea and Marsdenia.jpg"/>
                    <pic:cNvPicPr/>
                  </pic:nvPicPr>
                  <pic:blipFill rotWithShape="1">
                    <a:blip r:embed="rId26">
                      <a:extLst>
                        <a:ext uri="{28A0092B-C50C-407E-A947-70E740481C1C}">
                          <a14:useLocalDpi xmlns:a14="http://schemas.microsoft.com/office/drawing/2010/main" val="0"/>
                        </a:ext>
                      </a:extLst>
                    </a:blip>
                    <a:srcRect/>
                    <a:stretch/>
                  </pic:blipFill>
                  <pic:spPr bwMode="auto">
                    <a:xfrm>
                      <a:off x="0" y="0"/>
                      <a:ext cx="5796302" cy="8577261"/>
                    </a:xfrm>
                    <a:prstGeom prst="rect">
                      <a:avLst/>
                    </a:prstGeom>
                    <a:ln>
                      <a:noFill/>
                    </a:ln>
                    <a:extLst>
                      <a:ext uri="{53640926-AAD7-44D8-BBD7-CCE9431645EC}">
                        <a14:shadowObscured xmlns:a14="http://schemas.microsoft.com/office/drawing/2010/main"/>
                      </a:ext>
                    </a:extLst>
                  </pic:spPr>
                </pic:pic>
              </a:graphicData>
            </a:graphic>
          </wp:inline>
        </w:drawing>
      </w:r>
    </w:p>
    <w:p w14:paraId="2D391D9E" w14:textId="59F1D067" w:rsidR="00500FAE" w:rsidRDefault="00500FAE" w:rsidP="006C12A9">
      <w:pPr>
        <w:pStyle w:val="Caption"/>
        <w:ind w:left="1134" w:hanging="1134"/>
      </w:pPr>
      <w:bookmarkStart w:id="36" w:name="_Ref401925457"/>
      <w:bookmarkStart w:id="37" w:name="_Toc402441359"/>
      <w:proofErr w:type="gramStart"/>
      <w:r>
        <w:t xml:space="preserve">Figure </w:t>
      </w:r>
      <w:proofErr w:type="gramEnd"/>
      <w:r w:rsidR="001C525C">
        <w:fldChar w:fldCharType="begin"/>
      </w:r>
      <w:r w:rsidR="001C525C">
        <w:instrText xml:space="preserve"> STYLEREF 1 \s </w:instrText>
      </w:r>
      <w:r w:rsidR="001C525C">
        <w:fldChar w:fldCharType="separate"/>
      </w:r>
      <w:r w:rsidR="004E469D">
        <w:rPr>
          <w:noProof/>
        </w:rPr>
        <w:t>2</w:t>
      </w:r>
      <w:r w:rsidR="001C525C">
        <w:rPr>
          <w:noProof/>
        </w:rPr>
        <w:fldChar w:fldCharType="end"/>
      </w:r>
      <w:proofErr w:type="gramStart"/>
      <w:r>
        <w:t>.</w:t>
      </w:r>
      <w:proofErr w:type="gramEnd"/>
      <w:r w:rsidR="001C525C">
        <w:fldChar w:fldCharType="begin"/>
      </w:r>
      <w:r w:rsidR="001C525C">
        <w:instrText xml:space="preserve"> SEQ Figure \* ARABIC \s 1 </w:instrText>
      </w:r>
      <w:r w:rsidR="001C525C">
        <w:fldChar w:fldCharType="separate"/>
      </w:r>
      <w:r w:rsidR="004E469D">
        <w:rPr>
          <w:noProof/>
        </w:rPr>
        <w:t>4</w:t>
      </w:r>
      <w:r w:rsidR="001C525C">
        <w:rPr>
          <w:noProof/>
        </w:rPr>
        <w:fldChar w:fldCharType="end"/>
      </w:r>
      <w:bookmarkEnd w:id="36"/>
      <w:r>
        <w:tab/>
      </w:r>
      <w:proofErr w:type="spellStart"/>
      <w:r>
        <w:t>Pultenaea</w:t>
      </w:r>
      <w:proofErr w:type="spellEnd"/>
      <w:r>
        <w:t xml:space="preserve"> </w:t>
      </w:r>
      <w:proofErr w:type="spellStart"/>
      <w:r>
        <w:t>parviflora</w:t>
      </w:r>
      <w:proofErr w:type="spellEnd"/>
      <w:r w:rsidRPr="002A0C32">
        <w:t xml:space="preserve"> and </w:t>
      </w:r>
      <w:proofErr w:type="spellStart"/>
      <w:r w:rsidRPr="002A0C32">
        <w:t>Marsdenia</w:t>
      </w:r>
      <w:proofErr w:type="spellEnd"/>
      <w:r w:rsidRPr="002A0C32">
        <w:t xml:space="preserve"> </w:t>
      </w:r>
      <w:proofErr w:type="spellStart"/>
      <w:r w:rsidRPr="002A0C32">
        <w:t>viridiflora</w:t>
      </w:r>
      <w:proofErr w:type="spellEnd"/>
      <w:r w:rsidRPr="002A0C32">
        <w:t xml:space="preserve"> subsp. </w:t>
      </w:r>
      <w:proofErr w:type="spellStart"/>
      <w:r w:rsidRPr="002A0C32">
        <w:t>viridiflora</w:t>
      </w:r>
      <w:bookmarkEnd w:id="37"/>
      <w:proofErr w:type="spellEnd"/>
    </w:p>
    <w:p w14:paraId="5CF4D66F" w14:textId="686C018B" w:rsidR="00360503" w:rsidRDefault="007A055C" w:rsidP="00360503">
      <w:pPr>
        <w:pStyle w:val="ListBullet2"/>
      </w:pPr>
      <w:r>
        <w:t>12</w:t>
      </w:r>
      <w:r w:rsidR="00360503">
        <w:t xml:space="preserve"> new individual </w:t>
      </w:r>
      <w:proofErr w:type="spellStart"/>
      <w:r w:rsidR="00360503" w:rsidRPr="00360503">
        <w:rPr>
          <w:i/>
        </w:rPr>
        <w:t>Marsdenia</w:t>
      </w:r>
      <w:proofErr w:type="spellEnd"/>
      <w:r w:rsidR="00360503" w:rsidRPr="00360503">
        <w:rPr>
          <w:i/>
        </w:rPr>
        <w:t xml:space="preserve"> </w:t>
      </w:r>
      <w:proofErr w:type="spellStart"/>
      <w:r w:rsidR="00360503" w:rsidRPr="00360503">
        <w:rPr>
          <w:i/>
        </w:rPr>
        <w:t>viridiflora</w:t>
      </w:r>
      <w:proofErr w:type="spellEnd"/>
      <w:r w:rsidR="00360503">
        <w:t xml:space="preserve"> were recorded on the southern side of </w:t>
      </w:r>
      <w:proofErr w:type="spellStart"/>
      <w:r w:rsidR="00360503">
        <w:t>Longleys</w:t>
      </w:r>
      <w:proofErr w:type="spellEnd"/>
      <w:r w:rsidR="00360503">
        <w:t xml:space="preserve"> Road be</w:t>
      </w:r>
      <w:r w:rsidR="00203BBB">
        <w:t xml:space="preserve">tween Ferndale and Taylors Road (refer </w:t>
      </w:r>
      <w:r w:rsidR="00C822A6">
        <w:fldChar w:fldCharType="begin"/>
      </w:r>
      <w:r w:rsidR="00C822A6">
        <w:instrText xml:space="preserve"> REF _Ref401925457 \h </w:instrText>
      </w:r>
      <w:r w:rsidR="00C822A6">
        <w:fldChar w:fldCharType="separate"/>
      </w:r>
      <w:r w:rsidR="004E469D">
        <w:t xml:space="preserve">Figure </w:t>
      </w:r>
      <w:r w:rsidR="004E469D">
        <w:rPr>
          <w:noProof/>
        </w:rPr>
        <w:t>2</w:t>
      </w:r>
      <w:r w:rsidR="004E469D">
        <w:t>.</w:t>
      </w:r>
      <w:r w:rsidR="004E469D">
        <w:rPr>
          <w:noProof/>
        </w:rPr>
        <w:t>4</w:t>
      </w:r>
      <w:r w:rsidR="00C822A6">
        <w:fldChar w:fldCharType="end"/>
      </w:r>
      <w:r w:rsidR="00203BBB">
        <w:t>)</w:t>
      </w:r>
    </w:p>
    <w:p w14:paraId="6AC5C034" w14:textId="71ECAECB" w:rsidR="00360503" w:rsidRDefault="007A055C" w:rsidP="00AB7D75">
      <w:pPr>
        <w:pStyle w:val="ListBullet2"/>
      </w:pPr>
      <w:proofErr w:type="gramStart"/>
      <w:r>
        <w:t>p</w:t>
      </w:r>
      <w:r w:rsidR="00360503">
        <w:t>otential</w:t>
      </w:r>
      <w:proofErr w:type="gramEnd"/>
      <w:r w:rsidR="00360503">
        <w:t xml:space="preserve"> habitat exists for an additional two species and one endangered popu</w:t>
      </w:r>
      <w:r w:rsidR="00AB7D75">
        <w:t xml:space="preserve">lation listed under the TSC Act (respectively </w:t>
      </w:r>
      <w:r w:rsidR="00AB7D75" w:rsidRPr="00AB7D75">
        <w:rPr>
          <w:i/>
        </w:rPr>
        <w:t xml:space="preserve">Dillwynia </w:t>
      </w:r>
      <w:proofErr w:type="spellStart"/>
      <w:r w:rsidR="00AB7D75" w:rsidRPr="00AB7D75">
        <w:rPr>
          <w:i/>
        </w:rPr>
        <w:t>tenuifolia</w:t>
      </w:r>
      <w:proofErr w:type="spellEnd"/>
      <w:r w:rsidR="00AB7D75" w:rsidRPr="00AB7D75">
        <w:t xml:space="preserve">, </w:t>
      </w:r>
      <w:r w:rsidR="00AB7D75" w:rsidRPr="00AB7D75">
        <w:rPr>
          <w:i/>
        </w:rPr>
        <w:t xml:space="preserve">Grevillea </w:t>
      </w:r>
      <w:proofErr w:type="spellStart"/>
      <w:r w:rsidR="00AB7D75" w:rsidRPr="00AB7D75">
        <w:rPr>
          <w:i/>
        </w:rPr>
        <w:t>juniperina</w:t>
      </w:r>
      <w:proofErr w:type="spellEnd"/>
      <w:r w:rsidR="00AB7D75" w:rsidRPr="00AB7D75">
        <w:rPr>
          <w:i/>
        </w:rPr>
        <w:t xml:space="preserve"> </w:t>
      </w:r>
      <w:r w:rsidR="00AB7D75" w:rsidRPr="00454358">
        <w:t>subsp</w:t>
      </w:r>
      <w:r w:rsidR="00AB7D75" w:rsidRPr="00AB7D75">
        <w:rPr>
          <w:i/>
        </w:rPr>
        <w:t xml:space="preserve">. </w:t>
      </w:r>
      <w:proofErr w:type="spellStart"/>
      <w:r w:rsidR="00AB7D75" w:rsidRPr="00AB7D75">
        <w:rPr>
          <w:i/>
        </w:rPr>
        <w:t>juniperina</w:t>
      </w:r>
      <w:proofErr w:type="spellEnd"/>
      <w:r w:rsidR="00AB7D75" w:rsidRPr="00AB7D75">
        <w:t xml:space="preserve"> and </w:t>
      </w:r>
      <w:r w:rsidR="00AB7D75" w:rsidRPr="00AB7D75">
        <w:rPr>
          <w:i/>
        </w:rPr>
        <w:t xml:space="preserve">Dillwynia </w:t>
      </w:r>
      <w:proofErr w:type="spellStart"/>
      <w:r w:rsidR="00AB7D75" w:rsidRPr="00AB7D75">
        <w:rPr>
          <w:i/>
        </w:rPr>
        <w:t>tenuifolia</w:t>
      </w:r>
      <w:proofErr w:type="spellEnd"/>
      <w:r w:rsidR="00AB7D75" w:rsidRPr="00AB7D75">
        <w:t xml:space="preserve"> (Kemps Creek endangered population</w:t>
      </w:r>
      <w:r w:rsidR="00AB7D75">
        <w:t>)).</w:t>
      </w:r>
    </w:p>
    <w:p w14:paraId="74B6F332" w14:textId="4C7D7C3D" w:rsidR="00031B14" w:rsidRDefault="00031B14" w:rsidP="00031B14">
      <w:pPr>
        <w:pStyle w:val="ListBullet"/>
      </w:pPr>
      <w:r>
        <w:t>Nine noxious weeds declared in the Liverpool LGA were observed in the study area, six of these are also Weeds of National Significance.</w:t>
      </w:r>
    </w:p>
    <w:p w14:paraId="1F902D98" w14:textId="1856393D" w:rsidR="00031B14" w:rsidRDefault="00031B14" w:rsidP="00AF0095">
      <w:pPr>
        <w:pStyle w:val="ListBullet"/>
      </w:pPr>
      <w:r>
        <w:t>The NSW Office of Water Risk assessment guidelines for groundwater dependent ecosystems indicate that several vegetation communities that occur within the study area are likely to be ‘high probability groundwater dependent ecosystems’.</w:t>
      </w:r>
    </w:p>
    <w:p w14:paraId="7FC87DDD" w14:textId="77777777" w:rsidR="008C366C" w:rsidRDefault="008C366C" w:rsidP="008C366C">
      <w:pPr>
        <w:pStyle w:val="Heading3"/>
      </w:pPr>
      <w:r>
        <w:t>Fauna</w:t>
      </w:r>
    </w:p>
    <w:p w14:paraId="5D856D42" w14:textId="30F7730E" w:rsidR="00FB15DD" w:rsidRDefault="00FB15DD" w:rsidP="00FB15DD">
      <w:pPr>
        <w:pStyle w:val="BodyText"/>
      </w:pPr>
      <w:r>
        <w:t xml:space="preserve">Fauna habitat present within the study area is moderately to highly </w:t>
      </w:r>
      <w:proofErr w:type="gramStart"/>
      <w:r>
        <w:t>modified</w:t>
      </w:r>
      <w:proofErr w:type="gramEnd"/>
      <w:r>
        <w:t xml:space="preserve">. Much of this disturbance is due to the grazing of livestock. It is likely that much of the original vegetation within the area was directly cleared to facilitate grazing and other agricultural </w:t>
      </w:r>
      <w:r w:rsidR="000C4E66">
        <w:t>activities</w:t>
      </w:r>
      <w:r>
        <w:t>, with remaining vegetation clearing and suppression of regeneration a</w:t>
      </w:r>
      <w:r w:rsidR="000C4E66">
        <w:t>ccounted for by grazing itself.</w:t>
      </w:r>
    </w:p>
    <w:p w14:paraId="62BD5444" w14:textId="55ECB28E" w:rsidR="00FB15DD" w:rsidRDefault="00FB15DD" w:rsidP="00FB15DD">
      <w:pPr>
        <w:pStyle w:val="BodyText"/>
      </w:pPr>
      <w:r>
        <w:t xml:space="preserve">Despite this, several native fauna habitats persist within the study area. These can be classified into three broad </w:t>
      </w:r>
      <w:r w:rsidR="000C4E66">
        <w:t>types</w:t>
      </w:r>
      <w:r>
        <w:t>: open woodland, grassland</w:t>
      </w:r>
      <w:r w:rsidR="000C4E66">
        <w:t>,</w:t>
      </w:r>
      <w:r>
        <w:t xml:space="preserve"> and aquatic habitat. Each exhibits a high degree of variation in its vegetation composition across the study </w:t>
      </w:r>
      <w:proofErr w:type="gramStart"/>
      <w:r>
        <w:t>area,</w:t>
      </w:r>
      <w:proofErr w:type="gramEnd"/>
      <w:r>
        <w:t xml:space="preserve"> however, the structural elements relevant to native </w:t>
      </w:r>
      <w:r w:rsidR="000C4E66">
        <w:t>fauna are generally consistent.</w:t>
      </w:r>
    </w:p>
    <w:p w14:paraId="6BBB1255" w14:textId="462EBA6D" w:rsidR="00FB15DD" w:rsidRDefault="00FB15DD" w:rsidP="005613AC">
      <w:pPr>
        <w:pStyle w:val="Subheading"/>
      </w:pPr>
      <w:r>
        <w:t>Open woodland</w:t>
      </w:r>
    </w:p>
    <w:p w14:paraId="0DCDEBAE" w14:textId="2FD7197A" w:rsidR="00203BBB" w:rsidRDefault="00FB15DD" w:rsidP="00203BBB">
      <w:pPr>
        <w:pStyle w:val="BodyText"/>
      </w:pPr>
      <w:r>
        <w:t xml:space="preserve">Pockets of open woodland habitat are scattered across the study area, separated by large expanses of grassland. These </w:t>
      </w:r>
      <w:r w:rsidR="001847DF">
        <w:t>open woodland areas</w:t>
      </w:r>
      <w:r>
        <w:t xml:space="preserve"> are of varying age</w:t>
      </w:r>
      <w:r w:rsidR="001847DF">
        <w:t xml:space="preserve">; </w:t>
      </w:r>
      <w:r>
        <w:t xml:space="preserve">some </w:t>
      </w:r>
      <w:r w:rsidR="001847DF">
        <w:t>are likely to be remnant</w:t>
      </w:r>
      <w:r>
        <w:t xml:space="preserve"> while others have regenerated since clearing. The presence of large tree stumps within remnant patches indicates that within these areas many of the large trees have been selectively removed. The overall result of such clearing is the general scarcity of trees old or large enough to produce usable hollows</w:t>
      </w:r>
      <w:r w:rsidR="00203BBB" w:rsidRPr="00203BBB">
        <w:t xml:space="preserve"> </w:t>
      </w:r>
      <w:r w:rsidR="00203BBB">
        <w:t xml:space="preserve">for arboreal mammals, reptiles and diurnal and nocturnal birds and other native fauna. As such habitat value of this layer is considered to be low. </w:t>
      </w:r>
    </w:p>
    <w:p w14:paraId="62418960" w14:textId="30264059" w:rsidR="00FB15DD" w:rsidRDefault="00FB15DD" w:rsidP="00FB15DD">
      <w:pPr>
        <w:pStyle w:val="BodyText"/>
      </w:pPr>
      <w:r>
        <w:t>Within remnant/regenerating patches</w:t>
      </w:r>
      <w:r w:rsidR="00203BBB">
        <w:t>,</w:t>
      </w:r>
      <w:r>
        <w:t xml:space="preserve"> mid-storey vegetation varies from non-existent to native shrubs of varying density to dense African Olive infestations. </w:t>
      </w:r>
      <w:r w:rsidR="001847DF">
        <w:t>M</w:t>
      </w:r>
      <w:r>
        <w:t xml:space="preserve">id-storey vegetation within the native plant communities types present within the study area is typically sparse and usually dominated by </w:t>
      </w:r>
      <w:proofErr w:type="spellStart"/>
      <w:r w:rsidRPr="001847DF">
        <w:rPr>
          <w:i/>
        </w:rPr>
        <w:t>Bursaria</w:t>
      </w:r>
      <w:proofErr w:type="spellEnd"/>
      <w:r w:rsidRPr="001847DF">
        <w:rPr>
          <w:i/>
        </w:rPr>
        <w:t xml:space="preserve"> </w:t>
      </w:r>
      <w:proofErr w:type="spellStart"/>
      <w:r w:rsidRPr="001847DF">
        <w:rPr>
          <w:i/>
        </w:rPr>
        <w:t>spinosa</w:t>
      </w:r>
      <w:proofErr w:type="spellEnd"/>
      <w:r>
        <w:t>.</w:t>
      </w:r>
    </w:p>
    <w:p w14:paraId="07401C05" w14:textId="234925C1" w:rsidR="00FB15DD" w:rsidRDefault="001847DF" w:rsidP="00FB15DD">
      <w:pPr>
        <w:pStyle w:val="BodyText"/>
      </w:pPr>
      <w:r>
        <w:t>While</w:t>
      </w:r>
      <w:r w:rsidR="00FB15DD">
        <w:t xml:space="preserve"> the abundant </w:t>
      </w:r>
      <w:r>
        <w:t xml:space="preserve">introduced </w:t>
      </w:r>
      <w:r w:rsidR="00FB15DD">
        <w:t xml:space="preserve">African Olive provides </w:t>
      </w:r>
      <w:r>
        <w:t>some</w:t>
      </w:r>
      <w:r w:rsidR="00FB15DD">
        <w:t xml:space="preserve"> habitat str</w:t>
      </w:r>
      <w:r>
        <w:t>ucture within the mid-storey (</w:t>
      </w:r>
      <w:r w:rsidR="00A119BB">
        <w:t xml:space="preserve">e.g. </w:t>
      </w:r>
      <w:r w:rsidR="00FB15DD">
        <w:t>shelter and foraging opportunities for reptiles and small birds)</w:t>
      </w:r>
      <w:r>
        <w:t>,</w:t>
      </w:r>
      <w:r w:rsidR="00FB15DD">
        <w:t xml:space="preserve"> this </w:t>
      </w:r>
      <w:r>
        <w:t>is</w:t>
      </w:r>
      <w:r w:rsidR="00FB15DD">
        <w:t xml:space="preserve"> at the expense of native mid-storey vegetation which is likely to provide better structure, as well as increased opportunity for hosting food resources for native wildlife. Of the open woodland sites surveyed it was noted that a couple of sites contained mid-storeys dominated by African Olive and African Boxthorn. As such the overall habitat value of this layer within remnant/regenerating patches is generally considered to be moderate to low. </w:t>
      </w:r>
    </w:p>
    <w:p w14:paraId="417FA4C3" w14:textId="67032BDD" w:rsidR="00FB15DD" w:rsidRDefault="001847DF" w:rsidP="00FB15DD">
      <w:pPr>
        <w:pStyle w:val="BodyText"/>
      </w:pPr>
      <w:r>
        <w:t>Vegetative ground cover</w:t>
      </w:r>
      <w:r w:rsidR="00FB15DD">
        <w:t xml:space="preserve"> within some remnant/regenerating patches of open woodland </w:t>
      </w:r>
      <w:r>
        <w:t>is</w:t>
      </w:r>
      <w:r w:rsidR="00FB15DD">
        <w:t xml:space="preserve"> often sparse or less than five centimetres in height as a result of ongoing grazing pressure. Leaf litter is thin, although many sites are littered with debris and fallen/cut logs. Parts of the study area </w:t>
      </w:r>
      <w:r>
        <w:t>are</w:t>
      </w:r>
      <w:r w:rsidR="00FB15DD">
        <w:t xml:space="preserve"> infested with non-native groundcovers such as African lovegrass. </w:t>
      </w:r>
      <w:r>
        <w:t>S</w:t>
      </w:r>
      <w:r w:rsidR="00FB15DD">
        <w:t xml:space="preserve">ome </w:t>
      </w:r>
      <w:r>
        <w:t>areas of remnant vegetation area present</w:t>
      </w:r>
      <w:r w:rsidR="00FB15DD">
        <w:t xml:space="preserve"> where there is good native species diversity and there </w:t>
      </w:r>
      <w:r>
        <w:t>are</w:t>
      </w:r>
      <w:r w:rsidR="00FB15DD">
        <w:t xml:space="preserve"> some fenced areas with reduced grazing pressure where the native grass cover </w:t>
      </w:r>
      <w:r>
        <w:t>is also</w:t>
      </w:r>
      <w:r w:rsidR="00FB15DD">
        <w:t xml:space="preserve"> intact. It is likely that populations of the threatened Cumberland Plain Land Snail persist in these areas; however, no targeted searches were undertaken. The habitat value within this layer across the broader study area is co</w:t>
      </w:r>
      <w:r>
        <w:t>nsidered to be moderate to low.</w:t>
      </w:r>
    </w:p>
    <w:p w14:paraId="58E0A87A" w14:textId="77777777" w:rsidR="00FB15DD" w:rsidRDefault="00FB15DD" w:rsidP="005613AC">
      <w:pPr>
        <w:pStyle w:val="Subheading"/>
      </w:pPr>
      <w:r>
        <w:t>Grassland</w:t>
      </w:r>
    </w:p>
    <w:p w14:paraId="3DAC2FC8" w14:textId="77777777" w:rsidR="00FB15DD" w:rsidRDefault="00FB15DD" w:rsidP="00FB15DD">
      <w:pPr>
        <w:pStyle w:val="BodyText"/>
      </w:pPr>
      <w:r>
        <w:t xml:space="preserve">The grassland habitat present exhibits a mixture of native and exotic grasses. Occasional emerging eucalypts are present where there is reduced grazing pressure. Isolated mature canopy trees and logs occur sporadically amongst pastures. The overall habitat value of grasslands throughout the site is considered to be low to moderate. </w:t>
      </w:r>
    </w:p>
    <w:p w14:paraId="11B1CEDF" w14:textId="77777777" w:rsidR="00FB15DD" w:rsidRDefault="00FB15DD" w:rsidP="005613AC">
      <w:pPr>
        <w:pStyle w:val="Subheading"/>
      </w:pPr>
      <w:r>
        <w:t>Aquatic habitat</w:t>
      </w:r>
    </w:p>
    <w:p w14:paraId="6D59F1DD" w14:textId="38919819" w:rsidR="00FB15DD" w:rsidRDefault="00FB15DD" w:rsidP="00FB15DD">
      <w:pPr>
        <w:pStyle w:val="BodyText"/>
      </w:pPr>
      <w:r>
        <w:t xml:space="preserve">There are numerous farm dams within the </w:t>
      </w:r>
      <w:r w:rsidR="00E111CA">
        <w:t>Commonwealth land</w:t>
      </w:r>
      <w:r>
        <w:t xml:space="preserve">. These are generally vegetated around the edge except where the banks have been degraded by livestock access. </w:t>
      </w:r>
    </w:p>
    <w:p w14:paraId="2EA0959C" w14:textId="4484C5FB" w:rsidR="00FB15DD" w:rsidRDefault="00FB15DD" w:rsidP="00FB15DD">
      <w:pPr>
        <w:pStyle w:val="BodyText"/>
      </w:pPr>
      <w:r>
        <w:t>Badgerys Creek flows through the eastern portion of the area in a northerly direction and has a relatively well vegetated riparian corridor. Large portions of the waterway are infested with weeds and natural water flow is significantly altered in certain locations, particularly through the actions of livestock and other agricultural activities. Despite this highly degraded state the creek is likely to provide suitable habitat for a variety of native fauna species.</w:t>
      </w:r>
    </w:p>
    <w:p w14:paraId="1B8CD0D7" w14:textId="34AC124A" w:rsidR="00E111CA" w:rsidRDefault="00E111CA" w:rsidP="00FB15DD">
      <w:pPr>
        <w:pStyle w:val="BodyText"/>
      </w:pPr>
      <w:r w:rsidRPr="00E111CA">
        <w:t>Aquatic habitats have the potential to be adversely affected by future development in the area. Additional and ongoing water quality testing would be recommended in order to provide an adequate baseline against which impacts may be measured. It should be noted in this context that no aquatic ecological assessment was undertaken during field investigations for the biodiversity report.</w:t>
      </w:r>
    </w:p>
    <w:p w14:paraId="38BBFA1E" w14:textId="68E6B60C" w:rsidR="00163E8A" w:rsidRDefault="00163E8A" w:rsidP="005613AC">
      <w:pPr>
        <w:pStyle w:val="Subheading"/>
      </w:pPr>
      <w:r>
        <w:t>Wildlife connectivity corridors</w:t>
      </w:r>
    </w:p>
    <w:p w14:paraId="5C816866" w14:textId="3CCCDDFD" w:rsidR="00163E8A" w:rsidRDefault="00163E8A" w:rsidP="00163E8A">
      <w:pPr>
        <w:pStyle w:val="BodyText"/>
      </w:pPr>
      <w:r>
        <w:t>Parts of the study area have been identified within the Liverpool City Council Biodiversity Management Plan as ‘regionally connected vegetation’, and ‘riparian corridor’ (Liverpool City Council 2012). Badgerys Creek (the waterway) remains largely vegetated throughout the study area. It is likely that the creek forms an important (broadly) north-south corridor for wildlife movement within the Commonwealth land.</w:t>
      </w:r>
    </w:p>
    <w:p w14:paraId="6B8F0604" w14:textId="77777777" w:rsidR="00163E8A" w:rsidRDefault="00163E8A" w:rsidP="00163E8A">
      <w:pPr>
        <w:pStyle w:val="BodyText"/>
      </w:pPr>
      <w:r>
        <w:t xml:space="preserve">There is a high probability that the vegetation surrounding most waterways within the study area would be of a somewhat degraded condition based upon the prevalence of exotic vegetation generally in the area. Limited results from two sites sampled in the SMEC flora survey (away from the riparian zone but still within River-flat Forest) indicates that vegetation was in moderate condition. </w:t>
      </w:r>
    </w:p>
    <w:p w14:paraId="4AE26166" w14:textId="1456A5FF" w:rsidR="00FB15DD" w:rsidRDefault="00FB15DD" w:rsidP="005613AC">
      <w:pPr>
        <w:pStyle w:val="Subheading"/>
      </w:pPr>
      <w:r>
        <w:t>Survey findings</w:t>
      </w:r>
    </w:p>
    <w:p w14:paraId="53C3294E" w14:textId="3E11C5E9" w:rsidR="00FB15DD" w:rsidRDefault="00FB15DD" w:rsidP="00FB15DD">
      <w:pPr>
        <w:pStyle w:val="BodyText"/>
      </w:pPr>
      <w:r>
        <w:t>The findings of the field survey with regard to fauna are summarised as follows:</w:t>
      </w:r>
    </w:p>
    <w:p w14:paraId="6DE2733A" w14:textId="64BE3165" w:rsidR="004354A6" w:rsidRDefault="004354A6" w:rsidP="00AF0095">
      <w:pPr>
        <w:pStyle w:val="ListBullet"/>
      </w:pPr>
      <w:r>
        <w:t>The study area contains low to moderate quality habitat, including riparian vegetation and grassy woodland vegetation.</w:t>
      </w:r>
    </w:p>
    <w:p w14:paraId="236B586E" w14:textId="49193BDE" w:rsidR="004354A6" w:rsidRDefault="004354A6" w:rsidP="00AF0095">
      <w:pPr>
        <w:pStyle w:val="ListBullet"/>
      </w:pPr>
      <w:r>
        <w:t xml:space="preserve">Badgerys Creek </w:t>
      </w:r>
      <w:r w:rsidR="00D027A8">
        <w:t>is</w:t>
      </w:r>
      <w:r>
        <w:t xml:space="preserve"> identified as a potential wildlife corridor in a number of local and regional planning documents.</w:t>
      </w:r>
    </w:p>
    <w:p w14:paraId="682C499A" w14:textId="61CBB5DF" w:rsidR="004354A6" w:rsidRDefault="004354A6" w:rsidP="00AF0095">
      <w:pPr>
        <w:pStyle w:val="ListBullet"/>
      </w:pPr>
      <w:r>
        <w:t>Potential habitat is available within the study area for threatened fauna species including the Cumberland Land Snail, woodland birds, microchiropteran bats and the Grey-headed Flying-fox.</w:t>
      </w:r>
    </w:p>
    <w:p w14:paraId="396D4299" w14:textId="5A19D35E" w:rsidR="00A753D7" w:rsidRPr="00A753D7" w:rsidRDefault="00A753D7" w:rsidP="00A753D7">
      <w:pPr>
        <w:pStyle w:val="ListBullet"/>
      </w:pPr>
      <w:r w:rsidRPr="00A753D7">
        <w:t>There is potential suitable habitat in the study area for seven migratory species</w:t>
      </w:r>
      <w:r w:rsidR="00D027A8">
        <w:t xml:space="preserve"> (</w:t>
      </w:r>
      <w:r w:rsidRPr="00A753D7">
        <w:t xml:space="preserve">Cattle Egret, Fork-tailed Swift, Great Egret, Latham’s Snipe, Rainbow Bee-eater, </w:t>
      </w:r>
      <w:proofErr w:type="spellStart"/>
      <w:r w:rsidRPr="00A753D7">
        <w:t>Rufous</w:t>
      </w:r>
      <w:proofErr w:type="spellEnd"/>
      <w:r w:rsidRPr="00A753D7">
        <w:t xml:space="preserve"> Fantail</w:t>
      </w:r>
      <w:r w:rsidR="00D027A8">
        <w:t xml:space="preserve">, </w:t>
      </w:r>
      <w:proofErr w:type="gramStart"/>
      <w:r w:rsidRPr="00A753D7">
        <w:t>White</w:t>
      </w:r>
      <w:proofErr w:type="gramEnd"/>
      <w:r w:rsidRPr="00A753D7">
        <w:t xml:space="preserve">-throated </w:t>
      </w:r>
      <w:proofErr w:type="spellStart"/>
      <w:r w:rsidRPr="00A753D7">
        <w:t>Needletail</w:t>
      </w:r>
      <w:proofErr w:type="spellEnd"/>
      <w:r w:rsidR="00D027A8">
        <w:t>)</w:t>
      </w:r>
      <w:r w:rsidRPr="00A753D7">
        <w:t>.</w:t>
      </w:r>
    </w:p>
    <w:p w14:paraId="47349984" w14:textId="3B42941A" w:rsidR="004354A6" w:rsidRDefault="004354A6" w:rsidP="004354A6">
      <w:pPr>
        <w:pStyle w:val="Heading3"/>
      </w:pPr>
      <w:r>
        <w:t>Information gaps</w:t>
      </w:r>
    </w:p>
    <w:p w14:paraId="47F22735" w14:textId="77777777" w:rsidR="004354A6" w:rsidRDefault="004354A6" w:rsidP="004354A6">
      <w:pPr>
        <w:pStyle w:val="BodyText"/>
      </w:pPr>
      <w:r>
        <w:t>There are a number of information gaps that exist due to:</w:t>
      </w:r>
    </w:p>
    <w:p w14:paraId="33A509FB" w14:textId="44AFE1B4" w:rsidR="00A753D7" w:rsidRDefault="00183087" w:rsidP="00A753D7">
      <w:pPr>
        <w:pStyle w:val="ListBullet"/>
      </w:pPr>
      <w:r>
        <w:t>l</w:t>
      </w:r>
      <w:r w:rsidR="00A753D7">
        <w:t>ack of detailed knowledge of the distribution and condition of threatened spe</w:t>
      </w:r>
      <w:r>
        <w:t>cies and ecological communities</w:t>
      </w:r>
    </w:p>
    <w:p w14:paraId="5D7CBE92" w14:textId="1E15390D" w:rsidR="00A753D7" w:rsidRDefault="00183087" w:rsidP="00A753D7">
      <w:pPr>
        <w:pStyle w:val="ListBullet"/>
      </w:pPr>
      <w:r>
        <w:t>n</w:t>
      </w:r>
      <w:r w:rsidR="00A753D7">
        <w:t>ew and improved standards for flora and fauna survey required to satisfy updated envi</w:t>
      </w:r>
      <w:r>
        <w:t>ronmental assessment techniques</w:t>
      </w:r>
    </w:p>
    <w:p w14:paraId="15A7BF75" w14:textId="3C4E207B" w:rsidR="00A753D7" w:rsidRDefault="00183087" w:rsidP="00A753D7">
      <w:pPr>
        <w:pStyle w:val="ListBullet"/>
      </w:pPr>
      <w:r>
        <w:t>l</w:t>
      </w:r>
      <w:r w:rsidR="00A753D7">
        <w:t>ack of detail concerni</w:t>
      </w:r>
      <w:r>
        <w:t>ng aquatic species and habitats</w:t>
      </w:r>
    </w:p>
    <w:p w14:paraId="7806BB63" w14:textId="3D77B023" w:rsidR="004354A6" w:rsidRDefault="00183087" w:rsidP="00AF0095">
      <w:pPr>
        <w:pStyle w:val="ListBullet"/>
      </w:pPr>
      <w:proofErr w:type="gramStart"/>
      <w:r>
        <w:t>c</w:t>
      </w:r>
      <w:r w:rsidR="00A753D7">
        <w:t>hanges</w:t>
      </w:r>
      <w:proofErr w:type="gramEnd"/>
      <w:r w:rsidR="00A753D7">
        <w:t xml:space="preserve"> in legislative status of biodiversity.</w:t>
      </w:r>
    </w:p>
    <w:p w14:paraId="293E5650" w14:textId="30DF622A" w:rsidR="004354A6" w:rsidRDefault="008145E6" w:rsidP="004354A6">
      <w:pPr>
        <w:pStyle w:val="BodyText"/>
      </w:pPr>
      <w:r w:rsidRPr="008145E6">
        <w:t xml:space="preserve">Results from the site surveys undertaken in the late 1990s would not be suitable for use as part of </w:t>
      </w:r>
      <w:r w:rsidR="008D0417">
        <w:t xml:space="preserve">any </w:t>
      </w:r>
      <w:r w:rsidRPr="008145E6">
        <w:t>future environmental assessment as they are now outdated. In the intervening period there ha</w:t>
      </w:r>
      <w:r>
        <w:t>ve</w:t>
      </w:r>
      <w:r w:rsidRPr="008145E6">
        <w:t xml:space="preserve"> been changes to Commonwealth environmental legislation (most notably the introduction of the EPBC Act) and supporting regulation (such as threatened flora and fauna survey and assessment guidelines), and changes to the suite of listed threatened species (both NSW and Commonwealth). There have also been changes in the ecological and physical condition of the land associated with the predominantly agricultural land use. This notwithstanding, previous surveys may still provide useful general background information of site conditions and facilitate understanding of the nature of changes over time.</w:t>
      </w:r>
    </w:p>
    <w:p w14:paraId="264DE89B" w14:textId="4E32446E" w:rsidR="00C475E9" w:rsidRDefault="00C475E9" w:rsidP="00C475E9">
      <w:pPr>
        <w:pStyle w:val="Heading2"/>
      </w:pPr>
      <w:bookmarkStart w:id="38" w:name="_Toc400720076"/>
      <w:r>
        <w:t>Recommendations</w:t>
      </w:r>
      <w:bookmarkEnd w:id="38"/>
    </w:p>
    <w:p w14:paraId="1A09C09E" w14:textId="032F1CAF" w:rsidR="00A753D7" w:rsidRDefault="00A753D7" w:rsidP="00A753D7">
      <w:pPr>
        <w:pStyle w:val="Heading3"/>
      </w:pPr>
      <w:r>
        <w:t>Information gaps</w:t>
      </w:r>
    </w:p>
    <w:p w14:paraId="4AB86C07" w14:textId="3593C9E5" w:rsidR="00DB649C" w:rsidRDefault="00DB649C" w:rsidP="00DB649C">
      <w:pPr>
        <w:pStyle w:val="BodyText"/>
      </w:pPr>
      <w:r w:rsidRPr="00DB649C">
        <w:t xml:space="preserve">To the extent </w:t>
      </w:r>
      <w:r>
        <w:t xml:space="preserve">that </w:t>
      </w:r>
      <w:r w:rsidRPr="00DB649C">
        <w:t xml:space="preserve">future land use permits, and management measures are practicable and feasible, consideration should be given to implementing the </w:t>
      </w:r>
      <w:r>
        <w:t>following</w:t>
      </w:r>
      <w:r w:rsidRPr="00DB649C">
        <w:t xml:space="preserve"> measures to protect and enhance existing ecological assets and value</w:t>
      </w:r>
      <w:r>
        <w:t>s:</w:t>
      </w:r>
    </w:p>
    <w:p w14:paraId="0DF7C05D" w14:textId="5CA5223D" w:rsidR="00273E7D" w:rsidRDefault="00273E7D" w:rsidP="00273E7D">
      <w:pPr>
        <w:pStyle w:val="ListBullet"/>
      </w:pPr>
      <w:r>
        <w:t xml:space="preserve">Undertake further assessment of remnant vegetation to accurately determine the extent of vegetation communities present, particularly the extent of Moist Shale Woodland and </w:t>
      </w:r>
      <w:r w:rsidR="00C00402">
        <w:t>Shale–Gravel</w:t>
      </w:r>
      <w:r>
        <w:t xml:space="preserve"> Transition Forest components of EPBC listed EECs.</w:t>
      </w:r>
    </w:p>
    <w:p w14:paraId="749B6EA6" w14:textId="77777777" w:rsidR="00273E7D" w:rsidRDefault="00273E7D" w:rsidP="00273E7D">
      <w:pPr>
        <w:pStyle w:val="ListBullet"/>
      </w:pPr>
      <w:r>
        <w:t>Undertake further field assessment to better detail the extent of EPBC Act listed vegetation as a subset of TSC Act listed vegetation in line with patch size and condition thresholds in the determination. Survey methods will need to be consistent with current accepted standards and guidelines.</w:t>
      </w:r>
    </w:p>
    <w:p w14:paraId="09F0BF5C" w14:textId="4C4A13D2" w:rsidR="00273E7D" w:rsidRDefault="00273E7D" w:rsidP="00273E7D">
      <w:pPr>
        <w:pStyle w:val="ListBullet"/>
      </w:pPr>
      <w:r>
        <w:t>Undertake targeted threatened flora and fauna survey for all species listed in Appendix 4 to the biodiversity report (Appendix A)</w:t>
      </w:r>
      <w:r w:rsidR="006F516D">
        <w:t xml:space="preserve"> </w:t>
      </w:r>
      <w:r>
        <w:t>as having a medium to high risk of occurrence to bring the level of information into line with current accepted standards and guidelines. Requirements for survey for each of the 12 flora and 33 fauna species requiring survey including duration, timing and technique are detailed in Appendix 4 to the biodiversity report.</w:t>
      </w:r>
    </w:p>
    <w:p w14:paraId="65CF1B88" w14:textId="1C58CEE2" w:rsidR="00DB649C" w:rsidRDefault="00DB649C" w:rsidP="00273E7D">
      <w:pPr>
        <w:pStyle w:val="ListBullet"/>
      </w:pPr>
      <w:r>
        <w:t>For any future development proposal(s), w</w:t>
      </w:r>
      <w:r w:rsidRPr="00DB649C">
        <w:t xml:space="preserve">here impacts are unavoidable or cannot otherwise be </w:t>
      </w:r>
      <w:r>
        <w:t xml:space="preserve">suitably </w:t>
      </w:r>
      <w:r w:rsidRPr="00DB649C">
        <w:t>mitigated through management actions, consideration should be given to potential offsetting arrangements consistent with relevant legislative and policy requirements.</w:t>
      </w:r>
    </w:p>
    <w:p w14:paraId="24436DA5" w14:textId="77777777" w:rsidR="00665184" w:rsidRDefault="00665184" w:rsidP="00665184">
      <w:pPr>
        <w:pStyle w:val="Heading3"/>
      </w:pPr>
      <w:r>
        <w:t>Management</w:t>
      </w:r>
    </w:p>
    <w:p w14:paraId="26DA751A" w14:textId="52576FE6" w:rsidR="00213ADA" w:rsidRPr="00307B32" w:rsidRDefault="00825A50" w:rsidP="00825A50">
      <w:pPr>
        <w:pStyle w:val="BodyText"/>
      </w:pPr>
      <w:r w:rsidRPr="00307B32">
        <w:t xml:space="preserve">Within the context of existing management of the Commonwealth land and any future development proposals, consideration should be given to implementing the </w:t>
      </w:r>
      <w:r w:rsidR="00213ADA">
        <w:t xml:space="preserve">following </w:t>
      </w:r>
      <w:r w:rsidRPr="00307B32">
        <w:t>management measures</w:t>
      </w:r>
      <w:r w:rsidR="00213ADA">
        <w:t>,</w:t>
      </w:r>
      <w:r w:rsidR="00213ADA" w:rsidRPr="00213ADA">
        <w:t xml:space="preserve"> </w:t>
      </w:r>
      <w:r w:rsidR="00213ADA" w:rsidRPr="00307B32">
        <w:t xml:space="preserve">to the extent that </w:t>
      </w:r>
      <w:r w:rsidR="00213ADA">
        <w:t>these are</w:t>
      </w:r>
      <w:r w:rsidR="00213ADA" w:rsidRPr="00307B32">
        <w:t xml:space="preserve"> practicable and reasonable</w:t>
      </w:r>
      <w:r w:rsidR="00213ADA">
        <w:t xml:space="preserve">, </w:t>
      </w:r>
      <w:r w:rsidRPr="00307B32">
        <w:t>to protect and enhance existing ecological assets and values.</w:t>
      </w:r>
      <w:r w:rsidR="00213ADA">
        <w:t xml:space="preserve"> T</w:t>
      </w:r>
      <w:r w:rsidR="00213ADA" w:rsidRPr="00A753D7">
        <w:t xml:space="preserve">he </w:t>
      </w:r>
      <w:r w:rsidR="00213ADA">
        <w:t xml:space="preserve">recommended </w:t>
      </w:r>
      <w:r w:rsidR="00213ADA" w:rsidRPr="00A753D7">
        <w:t xml:space="preserve">measures </w:t>
      </w:r>
      <w:r w:rsidR="00213ADA">
        <w:t>address</w:t>
      </w:r>
      <w:r w:rsidR="00213ADA" w:rsidRPr="00A753D7">
        <w:t xml:space="preserve"> protection of relevant MNES</w:t>
      </w:r>
      <w:r w:rsidR="00213ADA">
        <w:t xml:space="preserve"> and would also address</w:t>
      </w:r>
      <w:r w:rsidR="00213ADA" w:rsidRPr="00A753D7">
        <w:t xml:space="preserve"> many NSW objectives for threatened species management</w:t>
      </w:r>
      <w:r w:rsidR="00213ADA">
        <w:t>.</w:t>
      </w:r>
    </w:p>
    <w:p w14:paraId="440E61CC" w14:textId="3E5FA891" w:rsidR="006E4477" w:rsidRDefault="006E4477" w:rsidP="006E4477">
      <w:pPr>
        <w:pStyle w:val="ListBullet"/>
      </w:pPr>
      <w:r>
        <w:t xml:space="preserve">Protect all moderate to good condition native vegetation in the study area with particular focus upon EPBC listed Cumberland Plain Shale Woodland and </w:t>
      </w:r>
      <w:r w:rsidR="00C00402">
        <w:t>Shale–Gravel</w:t>
      </w:r>
      <w:r>
        <w:t xml:space="preserve"> Transition Forest and Western Sydney Dry Rainforest and Moist Woodland on Shale.</w:t>
      </w:r>
    </w:p>
    <w:p w14:paraId="76CAA99F" w14:textId="2A421BAE" w:rsidR="006E4477" w:rsidRDefault="006E4477" w:rsidP="006E4477">
      <w:pPr>
        <w:pStyle w:val="ListBullet"/>
      </w:pPr>
      <w:r>
        <w:t>Protect nectar producing trees and shrubs and revegetate/rehabilitate degraded sites with appropriate species.</w:t>
      </w:r>
    </w:p>
    <w:p w14:paraId="57DA22C9" w14:textId="54569269" w:rsidR="006E4477" w:rsidRDefault="006E4477" w:rsidP="006E4477">
      <w:pPr>
        <w:pStyle w:val="ListBullet"/>
      </w:pPr>
      <w:r>
        <w:t>Fence o</w:t>
      </w:r>
      <w:r w:rsidR="00E318F0">
        <w:t>f</w:t>
      </w:r>
      <w:r>
        <w:t xml:space="preserve">f better condition remnants from grazing and protect areas where </w:t>
      </w:r>
      <w:proofErr w:type="spellStart"/>
      <w:r w:rsidRPr="006E4477">
        <w:rPr>
          <w:i/>
        </w:rPr>
        <w:t>Pultenaea</w:t>
      </w:r>
      <w:proofErr w:type="spellEnd"/>
      <w:r w:rsidRPr="006E4477">
        <w:rPr>
          <w:i/>
        </w:rPr>
        <w:t xml:space="preserve"> </w:t>
      </w:r>
      <w:proofErr w:type="spellStart"/>
      <w:r w:rsidRPr="006E4477">
        <w:rPr>
          <w:i/>
        </w:rPr>
        <w:t>parviflora</w:t>
      </w:r>
      <w:proofErr w:type="spellEnd"/>
      <w:r>
        <w:t xml:space="preserve"> and </w:t>
      </w:r>
      <w:proofErr w:type="spellStart"/>
      <w:r w:rsidRPr="006E4477">
        <w:rPr>
          <w:i/>
        </w:rPr>
        <w:t>Marsdenia</w:t>
      </w:r>
      <w:proofErr w:type="spellEnd"/>
      <w:r w:rsidRPr="006E4477">
        <w:rPr>
          <w:i/>
        </w:rPr>
        <w:t xml:space="preserve"> </w:t>
      </w:r>
      <w:proofErr w:type="spellStart"/>
      <w:r w:rsidRPr="006E4477">
        <w:rPr>
          <w:i/>
        </w:rPr>
        <w:t>viridiflora</w:t>
      </w:r>
      <w:proofErr w:type="spellEnd"/>
      <w:r>
        <w:t xml:space="preserve"> have been recorded. Consider seed collection/propagation of </w:t>
      </w:r>
      <w:r w:rsidRPr="006E4477">
        <w:rPr>
          <w:i/>
        </w:rPr>
        <w:t>P. </w:t>
      </w:r>
      <w:proofErr w:type="spellStart"/>
      <w:r w:rsidRPr="006E4477">
        <w:rPr>
          <w:i/>
        </w:rPr>
        <w:t>parviflora</w:t>
      </w:r>
      <w:proofErr w:type="spellEnd"/>
      <w:r>
        <w:t xml:space="preserve"> and </w:t>
      </w:r>
      <w:r w:rsidRPr="006E4477">
        <w:rPr>
          <w:i/>
        </w:rPr>
        <w:t xml:space="preserve">M. </w:t>
      </w:r>
      <w:proofErr w:type="spellStart"/>
      <w:r w:rsidRPr="006E4477">
        <w:rPr>
          <w:i/>
        </w:rPr>
        <w:t>viridiflora</w:t>
      </w:r>
      <w:proofErr w:type="spellEnd"/>
      <w:r>
        <w:t xml:space="preserve"> should these populations be at risk of further clearing.</w:t>
      </w:r>
    </w:p>
    <w:p w14:paraId="667553C1" w14:textId="0840DB21" w:rsidR="006E4477" w:rsidRDefault="006E4477" w:rsidP="006E4477">
      <w:pPr>
        <w:pStyle w:val="ListBullet"/>
      </w:pPr>
      <w:r>
        <w:t xml:space="preserve">Ensure road maintenance and agricultural activities adjacent to </w:t>
      </w:r>
      <w:proofErr w:type="spellStart"/>
      <w:r>
        <w:t>Longleys</w:t>
      </w:r>
      <w:proofErr w:type="spellEnd"/>
      <w:r>
        <w:t xml:space="preserve"> Road and Badgerys Creek Road avoid known </w:t>
      </w:r>
      <w:r w:rsidRPr="006E4477">
        <w:rPr>
          <w:i/>
        </w:rPr>
        <w:t xml:space="preserve">P. </w:t>
      </w:r>
      <w:proofErr w:type="spellStart"/>
      <w:r w:rsidRPr="006E4477">
        <w:rPr>
          <w:i/>
        </w:rPr>
        <w:t>parviflora</w:t>
      </w:r>
      <w:proofErr w:type="spellEnd"/>
      <w:r>
        <w:t xml:space="preserve"> and </w:t>
      </w:r>
      <w:r w:rsidRPr="006E4477">
        <w:rPr>
          <w:i/>
        </w:rPr>
        <w:t xml:space="preserve">M. </w:t>
      </w:r>
      <w:proofErr w:type="spellStart"/>
      <w:r w:rsidRPr="006E4477">
        <w:rPr>
          <w:i/>
        </w:rPr>
        <w:t>viridiflora</w:t>
      </w:r>
      <w:proofErr w:type="spellEnd"/>
      <w:r>
        <w:t xml:space="preserve"> populations.</w:t>
      </w:r>
    </w:p>
    <w:p w14:paraId="4EBDA0A1" w14:textId="77777777" w:rsidR="006E4477" w:rsidRDefault="006E4477" w:rsidP="006E4477">
      <w:pPr>
        <w:pStyle w:val="ListBullet"/>
      </w:pPr>
      <w:r>
        <w:t>Retain mature and hollow bearing trees and supplement with nest boxes.</w:t>
      </w:r>
    </w:p>
    <w:p w14:paraId="3E1B120B" w14:textId="26DA97DD" w:rsidR="006E4477" w:rsidRDefault="006E4477" w:rsidP="006E4477">
      <w:pPr>
        <w:pStyle w:val="ListBullet"/>
      </w:pPr>
      <w:r>
        <w:t>Retain habitat features including dead wood and trees.</w:t>
      </w:r>
    </w:p>
    <w:p w14:paraId="2F8FFE4C" w14:textId="7CDB5D3A" w:rsidR="006E4477" w:rsidRDefault="006E4477" w:rsidP="006E4477">
      <w:pPr>
        <w:pStyle w:val="ListBullet"/>
      </w:pPr>
      <w:r>
        <w:t>Restrict use of pesticides for weed control particularly near watercourses and immediately before or during wet weather.</w:t>
      </w:r>
    </w:p>
    <w:p w14:paraId="421B7C55" w14:textId="06946AEB" w:rsidR="006E4477" w:rsidRDefault="006E4477" w:rsidP="006E4477">
      <w:pPr>
        <w:pStyle w:val="ListBullet"/>
      </w:pPr>
      <w:r>
        <w:t>Regeneration works in riparian areas should include placement of rocks and logs to enhance existing aquatic habitat.</w:t>
      </w:r>
    </w:p>
    <w:p w14:paraId="337D90BC" w14:textId="06D65B9E" w:rsidR="006E4477" w:rsidRDefault="006E4477" w:rsidP="006E4477">
      <w:pPr>
        <w:pStyle w:val="ListBullet"/>
      </w:pPr>
      <w:r>
        <w:t>Undertake regeneration activities in strategic locations to improve habitat connectivity.</w:t>
      </w:r>
    </w:p>
    <w:p w14:paraId="73265D8D" w14:textId="6885703F" w:rsidR="006E4477" w:rsidRDefault="006E4477" w:rsidP="006E4477">
      <w:pPr>
        <w:pStyle w:val="ListBullet"/>
      </w:pPr>
      <w:r>
        <w:t>Maintain native grasses in pasture.</w:t>
      </w:r>
    </w:p>
    <w:p w14:paraId="21DFE196" w14:textId="62301566" w:rsidR="006E4477" w:rsidRDefault="006E4477" w:rsidP="006E4477">
      <w:pPr>
        <w:pStyle w:val="ListBullet"/>
      </w:pPr>
      <w:r>
        <w:t xml:space="preserve">Undertake weed control in accordance with the </w:t>
      </w:r>
      <w:r w:rsidRPr="006E4477">
        <w:rPr>
          <w:i/>
        </w:rPr>
        <w:t>Noxious Weeds Act 1993</w:t>
      </w:r>
      <w:r>
        <w:t xml:space="preserve"> and best practice (including control of environmental weeds).</w:t>
      </w:r>
    </w:p>
    <w:p w14:paraId="24DDF89B" w14:textId="69B1D533" w:rsidR="006E4477" w:rsidRDefault="006E4477" w:rsidP="006E4477">
      <w:pPr>
        <w:pStyle w:val="ListBullet"/>
      </w:pPr>
      <w:r>
        <w:t>Adopt hygiene protocol standards for the control of disease in frogs and prevent introduction or spread of</w:t>
      </w:r>
      <w:r w:rsidRPr="006E4477">
        <w:rPr>
          <w:i/>
        </w:rPr>
        <w:t xml:space="preserve"> Phytophthora </w:t>
      </w:r>
      <w:proofErr w:type="spellStart"/>
      <w:r w:rsidRPr="006E4477">
        <w:rPr>
          <w:i/>
        </w:rPr>
        <w:t>cinnamomi</w:t>
      </w:r>
      <w:proofErr w:type="spellEnd"/>
      <w:r>
        <w:t xml:space="preserve"> and Myrtle Rust.</w:t>
      </w:r>
    </w:p>
    <w:p w14:paraId="7297263A" w14:textId="664CFBFD" w:rsidR="006E4477" w:rsidRDefault="006E4477" w:rsidP="006E4477">
      <w:pPr>
        <w:pStyle w:val="ListBullet"/>
      </w:pPr>
      <w:r>
        <w:t>Implement pest management control for vertebrate pests.</w:t>
      </w:r>
    </w:p>
    <w:p w14:paraId="2BA269B2" w14:textId="326BF96B" w:rsidR="006E4477" w:rsidRDefault="006E4477" w:rsidP="006E4477">
      <w:pPr>
        <w:pStyle w:val="ListBullet"/>
      </w:pPr>
      <w:r>
        <w:t>Implement controls to prevent pollution of local waterways and manage riparian and in-stream fish habitat, including restricting access of livestock to riparian areas.</w:t>
      </w:r>
    </w:p>
    <w:p w14:paraId="10BD976D" w14:textId="734C55E9" w:rsidR="006E4477" w:rsidRDefault="006E4477" w:rsidP="006E4477">
      <w:pPr>
        <w:pStyle w:val="ListBullet"/>
      </w:pPr>
      <w:r>
        <w:t>Control sediment at the catchment and local site scale.</w:t>
      </w:r>
    </w:p>
    <w:p w14:paraId="5466E832" w14:textId="5288B5E4" w:rsidR="006E4477" w:rsidRDefault="006E4477" w:rsidP="006E4477">
      <w:pPr>
        <w:pStyle w:val="ListBullet"/>
      </w:pPr>
      <w:r>
        <w:t>Identify and manage point and diffuse sources of pollution.</w:t>
      </w:r>
    </w:p>
    <w:p w14:paraId="15B54B64" w14:textId="75108EA6" w:rsidR="00665184" w:rsidRDefault="006E4477" w:rsidP="006E4477">
      <w:pPr>
        <w:pStyle w:val="ListBullet"/>
      </w:pPr>
      <w:r>
        <w:t xml:space="preserve">Land management standards, including management measures to support biodiversity as outlined above, should be included as part of </w:t>
      </w:r>
      <w:r w:rsidR="00641C57">
        <w:t xml:space="preserve">any </w:t>
      </w:r>
      <w:r>
        <w:t>new tenancy agreements.</w:t>
      </w:r>
    </w:p>
    <w:p w14:paraId="0C743E0E" w14:textId="72E58A60" w:rsidR="00A753D7" w:rsidRDefault="00DF6DC2" w:rsidP="00DF6DC2">
      <w:pPr>
        <w:pStyle w:val="ListBullet"/>
      </w:pPr>
      <w:r w:rsidRPr="00DF6DC2">
        <w:t>Management measures for any future development within the Commonwealth land should be prepared as part of the associated environmental assessment(s).</w:t>
      </w:r>
    </w:p>
    <w:p w14:paraId="04F0E559" w14:textId="5FEAFC59" w:rsidR="00307B32" w:rsidRDefault="00307B32" w:rsidP="00307B32">
      <w:pPr>
        <w:pStyle w:val="BodyText"/>
      </w:pPr>
      <w:r>
        <w:t xml:space="preserve">The above recommendations do not necessarily provide for future </w:t>
      </w:r>
      <w:r w:rsidRPr="00825A50">
        <w:t xml:space="preserve">development within the </w:t>
      </w:r>
      <w:r>
        <w:t>Commonwealth land</w:t>
      </w:r>
      <w:r w:rsidRPr="00825A50">
        <w:t>.</w:t>
      </w:r>
      <w:r>
        <w:t xml:space="preserve"> Any such development proposal(s) should include development of </w:t>
      </w:r>
      <w:r w:rsidRPr="00825A50">
        <w:t xml:space="preserve">appropriate management measures of </w:t>
      </w:r>
      <w:r>
        <w:t>the</w:t>
      </w:r>
      <w:r w:rsidRPr="00825A50">
        <w:t xml:space="preserve"> environmental assessment</w:t>
      </w:r>
      <w:r w:rsidR="00A45271">
        <w:t xml:space="preserve"> within the context of </w:t>
      </w:r>
      <w:r w:rsidR="00213ADA" w:rsidRPr="00213ADA">
        <w:t xml:space="preserve">the </w:t>
      </w:r>
      <w:r w:rsidR="00A45271">
        <w:t>‘</w:t>
      </w:r>
      <w:r w:rsidR="00213ADA" w:rsidRPr="00213ADA">
        <w:t>avoid/mitigate/ offset</w:t>
      </w:r>
      <w:r w:rsidR="00A45271">
        <w:t>’</w:t>
      </w:r>
      <w:r w:rsidR="00213ADA" w:rsidRPr="00213ADA">
        <w:t xml:space="preserve"> hierarchy of impact management.</w:t>
      </w:r>
    </w:p>
    <w:p w14:paraId="37E78779" w14:textId="544DA54A" w:rsidR="00665184" w:rsidRDefault="00665184" w:rsidP="00665184">
      <w:pPr>
        <w:pStyle w:val="Heading3"/>
      </w:pPr>
      <w:bookmarkStart w:id="39" w:name="_Ref401844787"/>
      <w:r>
        <w:t>Survey</w:t>
      </w:r>
      <w:bookmarkEnd w:id="39"/>
    </w:p>
    <w:p w14:paraId="76B336E3" w14:textId="5168068E" w:rsidR="00665184" w:rsidRDefault="002A372B" w:rsidP="00BE3216">
      <w:pPr>
        <w:pStyle w:val="BodyText"/>
      </w:pPr>
      <w:r w:rsidRPr="002A372B">
        <w:t>The following sur</w:t>
      </w:r>
      <w:r>
        <w:t xml:space="preserve">vey activities are recommended </w:t>
      </w:r>
      <w:r w:rsidRPr="002A372B">
        <w:t>to adequately describe the biodiversity values of the study area as part of any future environmental assessment</w:t>
      </w:r>
      <w:r>
        <w:t>(s)</w:t>
      </w:r>
      <w:r w:rsidRPr="002A372B">
        <w:t>:</w:t>
      </w:r>
    </w:p>
    <w:p w14:paraId="41CAE744" w14:textId="711A3C98" w:rsidR="00665184" w:rsidRDefault="007D5E07" w:rsidP="00AF0095">
      <w:pPr>
        <w:pStyle w:val="ListBullet"/>
      </w:pPr>
      <w:r>
        <w:t>Undertake d</w:t>
      </w:r>
      <w:r w:rsidR="00665184" w:rsidRPr="00665184">
        <w:t xml:space="preserve">etailed vegetation community and condition mapping </w:t>
      </w:r>
      <w:r w:rsidR="00665184">
        <w:t>for the Commonwealth land at Badgerys Creek</w:t>
      </w:r>
      <w:r w:rsidR="00665184" w:rsidRPr="00665184">
        <w:t>. This would involve additional site stratification and vegetation sampling using plot surveys, including full floristics, to supplement the rapid plot assessment undertaken by SMEC in 2014. This additional plot survey would be used to inform preparation of detailed vegetation community and condition mapping.</w:t>
      </w:r>
    </w:p>
    <w:p w14:paraId="2D99559C" w14:textId="77777777" w:rsidR="00EF5494" w:rsidRDefault="007D5E07" w:rsidP="00EF5494">
      <w:pPr>
        <w:pStyle w:val="ListBullet"/>
      </w:pPr>
      <w:r>
        <w:t>Undertake t</w:t>
      </w:r>
      <w:r w:rsidR="00665184" w:rsidRPr="00665184">
        <w:t xml:space="preserve">argeted threatened flora survey for </w:t>
      </w:r>
      <w:r w:rsidR="00E718A8">
        <w:t xml:space="preserve">the following </w:t>
      </w:r>
      <w:r w:rsidR="00665184" w:rsidRPr="00665184">
        <w:t>threatened flora species</w:t>
      </w:r>
      <w:r w:rsidR="00B51D0F">
        <w:t>/ populations</w:t>
      </w:r>
      <w:r w:rsidR="00665184" w:rsidRPr="00665184">
        <w:t xml:space="preserve"> in areas of potential habitat in the study area during the appropriate flowering season</w:t>
      </w:r>
      <w:r w:rsidR="00A33F3D">
        <w:t>:</w:t>
      </w:r>
    </w:p>
    <w:p w14:paraId="0C020485" w14:textId="6E75FDC3" w:rsidR="00EF5494" w:rsidRDefault="00EF5494" w:rsidP="00EF5494">
      <w:pPr>
        <w:pStyle w:val="ListBullet2"/>
      </w:pPr>
      <w:r w:rsidRPr="00EF5494">
        <w:rPr>
          <w:i/>
        </w:rPr>
        <w:t xml:space="preserve">Acacia </w:t>
      </w:r>
      <w:proofErr w:type="spellStart"/>
      <w:r w:rsidRPr="00EF5494">
        <w:rPr>
          <w:i/>
        </w:rPr>
        <w:t>pubescens</w:t>
      </w:r>
      <w:proofErr w:type="spellEnd"/>
      <w:r w:rsidRPr="00A33F3D">
        <w:t xml:space="preserve"> (EPBC</w:t>
      </w:r>
      <w:r>
        <w:t xml:space="preserve"> and TSC</w:t>
      </w:r>
      <w:r w:rsidRPr="00A33F3D">
        <w:t>)</w:t>
      </w:r>
    </w:p>
    <w:p w14:paraId="4474236E" w14:textId="77777777" w:rsidR="00EF5494" w:rsidRDefault="00EF5494" w:rsidP="00EF5494">
      <w:pPr>
        <w:pStyle w:val="ListBullet2"/>
      </w:pPr>
      <w:proofErr w:type="spellStart"/>
      <w:r w:rsidRPr="00EF5494">
        <w:rPr>
          <w:i/>
        </w:rPr>
        <w:t>Cynanchum</w:t>
      </w:r>
      <w:proofErr w:type="spellEnd"/>
      <w:r w:rsidRPr="00EF5494">
        <w:rPr>
          <w:i/>
        </w:rPr>
        <w:t xml:space="preserve"> </w:t>
      </w:r>
      <w:proofErr w:type="spellStart"/>
      <w:r w:rsidRPr="00EF5494">
        <w:rPr>
          <w:i/>
        </w:rPr>
        <w:t>elegans</w:t>
      </w:r>
      <w:proofErr w:type="spellEnd"/>
      <w:r w:rsidRPr="00A33F3D">
        <w:t xml:space="preserve"> (EPBC</w:t>
      </w:r>
      <w:r>
        <w:t xml:space="preserve"> and TSC</w:t>
      </w:r>
      <w:r w:rsidRPr="00A33F3D">
        <w:t>)</w:t>
      </w:r>
    </w:p>
    <w:p w14:paraId="368006E2" w14:textId="77777777" w:rsidR="00EF5494" w:rsidRPr="00307B32" w:rsidRDefault="00EF5494" w:rsidP="00EF5494">
      <w:pPr>
        <w:pStyle w:val="ListBullet2"/>
      </w:pPr>
      <w:r w:rsidRPr="00EF5494">
        <w:rPr>
          <w:i/>
        </w:rPr>
        <w:t xml:space="preserve">Grevillea </w:t>
      </w:r>
      <w:proofErr w:type="spellStart"/>
      <w:r w:rsidRPr="00EF5494">
        <w:rPr>
          <w:i/>
        </w:rPr>
        <w:t>parviflora</w:t>
      </w:r>
      <w:proofErr w:type="spellEnd"/>
      <w:r w:rsidRPr="00A33F3D">
        <w:t xml:space="preserve"> subsp.</w:t>
      </w:r>
      <w:r w:rsidRPr="002A372B">
        <w:t xml:space="preserve"> </w:t>
      </w:r>
      <w:proofErr w:type="spellStart"/>
      <w:r w:rsidRPr="00EF5494">
        <w:rPr>
          <w:i/>
        </w:rPr>
        <w:t>parviflora</w:t>
      </w:r>
      <w:proofErr w:type="spellEnd"/>
      <w:r w:rsidRPr="00A33F3D">
        <w:t xml:space="preserve"> (EPBC</w:t>
      </w:r>
      <w:r>
        <w:t xml:space="preserve"> and TSC)</w:t>
      </w:r>
    </w:p>
    <w:p w14:paraId="6894D05C" w14:textId="77777777" w:rsidR="00EF5494" w:rsidRDefault="00EF5494" w:rsidP="00EF5494">
      <w:pPr>
        <w:pStyle w:val="ListBullet2"/>
      </w:pPr>
      <w:proofErr w:type="spellStart"/>
      <w:r w:rsidRPr="00EF5494">
        <w:rPr>
          <w:i/>
        </w:rPr>
        <w:t>Isotoma</w:t>
      </w:r>
      <w:proofErr w:type="spellEnd"/>
      <w:r w:rsidRPr="00EF5494">
        <w:rPr>
          <w:i/>
        </w:rPr>
        <w:t xml:space="preserve"> </w:t>
      </w:r>
      <w:proofErr w:type="spellStart"/>
      <w:r w:rsidRPr="00EF5494">
        <w:rPr>
          <w:i/>
        </w:rPr>
        <w:t>sessiliflora</w:t>
      </w:r>
      <w:proofErr w:type="spellEnd"/>
      <w:r>
        <w:t xml:space="preserve"> (</w:t>
      </w:r>
      <w:proofErr w:type="spellStart"/>
      <w:r w:rsidRPr="00EF5494">
        <w:rPr>
          <w:i/>
        </w:rPr>
        <w:t>Hypsela</w:t>
      </w:r>
      <w:proofErr w:type="spellEnd"/>
      <w:r w:rsidRPr="00EF5494">
        <w:rPr>
          <w:i/>
        </w:rPr>
        <w:t xml:space="preserve"> </w:t>
      </w:r>
      <w:proofErr w:type="spellStart"/>
      <w:r w:rsidRPr="00EF5494">
        <w:rPr>
          <w:i/>
        </w:rPr>
        <w:t>sessiliflora</w:t>
      </w:r>
      <w:proofErr w:type="spellEnd"/>
      <w:r>
        <w:t>) (EPBC and TSC)</w:t>
      </w:r>
    </w:p>
    <w:p w14:paraId="1E698203" w14:textId="300A4578" w:rsidR="00EF5494" w:rsidRDefault="00EF5494" w:rsidP="00EF5494">
      <w:pPr>
        <w:pStyle w:val="ListBullet2"/>
      </w:pPr>
      <w:proofErr w:type="spellStart"/>
      <w:r w:rsidRPr="00E24D9A">
        <w:rPr>
          <w:i/>
        </w:rPr>
        <w:t>Pimelea</w:t>
      </w:r>
      <w:proofErr w:type="spellEnd"/>
      <w:r w:rsidRPr="00E24D9A">
        <w:rPr>
          <w:i/>
        </w:rPr>
        <w:t xml:space="preserve"> </w:t>
      </w:r>
      <w:proofErr w:type="spellStart"/>
      <w:r w:rsidRPr="00E24D9A">
        <w:rPr>
          <w:i/>
        </w:rPr>
        <w:t>spicata</w:t>
      </w:r>
      <w:proofErr w:type="spellEnd"/>
      <w:r w:rsidRPr="00A33F3D">
        <w:t xml:space="preserve"> (EPBC</w:t>
      </w:r>
      <w:r>
        <w:t xml:space="preserve"> and TSC</w:t>
      </w:r>
      <w:r w:rsidRPr="00A33F3D">
        <w:t>)</w:t>
      </w:r>
    </w:p>
    <w:p w14:paraId="601A2C9C" w14:textId="77777777" w:rsidR="00EF5494" w:rsidRDefault="00EF5494" w:rsidP="00EF5494">
      <w:pPr>
        <w:pStyle w:val="ListBullet2"/>
      </w:pPr>
      <w:proofErr w:type="spellStart"/>
      <w:r w:rsidRPr="00EF5494">
        <w:rPr>
          <w:i/>
        </w:rPr>
        <w:t>Pultenaea</w:t>
      </w:r>
      <w:proofErr w:type="spellEnd"/>
      <w:r w:rsidRPr="00EF5494">
        <w:rPr>
          <w:i/>
        </w:rPr>
        <w:t xml:space="preserve"> </w:t>
      </w:r>
      <w:proofErr w:type="spellStart"/>
      <w:r w:rsidRPr="00EF5494">
        <w:rPr>
          <w:i/>
        </w:rPr>
        <w:t>parviflora</w:t>
      </w:r>
      <w:proofErr w:type="spellEnd"/>
      <w:r w:rsidRPr="00A33F3D">
        <w:t xml:space="preserve"> (EPBC</w:t>
      </w:r>
      <w:r>
        <w:t xml:space="preserve"> and TSC</w:t>
      </w:r>
      <w:r w:rsidRPr="00A33F3D">
        <w:t>)</w:t>
      </w:r>
    </w:p>
    <w:p w14:paraId="672E3636" w14:textId="77777777" w:rsidR="00EF5494" w:rsidRPr="00307B32" w:rsidRDefault="00EF5494" w:rsidP="00EF5494">
      <w:pPr>
        <w:pStyle w:val="ListBullet2"/>
      </w:pPr>
      <w:r w:rsidRPr="00EF5494">
        <w:rPr>
          <w:i/>
        </w:rPr>
        <w:t xml:space="preserve">Dillwynia </w:t>
      </w:r>
      <w:proofErr w:type="spellStart"/>
      <w:r w:rsidRPr="00EF5494">
        <w:rPr>
          <w:i/>
        </w:rPr>
        <w:t>tenuifolia</w:t>
      </w:r>
      <w:proofErr w:type="spellEnd"/>
      <w:r>
        <w:t xml:space="preserve"> (TSC)</w:t>
      </w:r>
    </w:p>
    <w:p w14:paraId="72E291C7" w14:textId="77777777" w:rsidR="00EF5494" w:rsidRPr="00307B32" w:rsidRDefault="00EF5494" w:rsidP="00EF5494">
      <w:pPr>
        <w:pStyle w:val="ListBullet2"/>
      </w:pPr>
      <w:r w:rsidRPr="00EF5494">
        <w:rPr>
          <w:i/>
        </w:rPr>
        <w:t xml:space="preserve">Dillwynia </w:t>
      </w:r>
      <w:proofErr w:type="spellStart"/>
      <w:r w:rsidRPr="00EF5494">
        <w:rPr>
          <w:i/>
        </w:rPr>
        <w:t>tenuifolia</w:t>
      </w:r>
      <w:proofErr w:type="spellEnd"/>
      <w:r>
        <w:t xml:space="preserve"> (TSC listed endangered population)</w:t>
      </w:r>
    </w:p>
    <w:p w14:paraId="78FF692A" w14:textId="77777777" w:rsidR="00EF5494" w:rsidRDefault="00EF5494" w:rsidP="00EF5494">
      <w:pPr>
        <w:pStyle w:val="ListBullet2"/>
      </w:pPr>
      <w:r w:rsidRPr="00EF5494">
        <w:rPr>
          <w:i/>
        </w:rPr>
        <w:t xml:space="preserve">Grevillea </w:t>
      </w:r>
      <w:proofErr w:type="spellStart"/>
      <w:r w:rsidRPr="00EF5494">
        <w:rPr>
          <w:i/>
        </w:rPr>
        <w:t>juniperina</w:t>
      </w:r>
      <w:proofErr w:type="spellEnd"/>
      <w:r w:rsidRPr="00EF5494">
        <w:rPr>
          <w:i/>
        </w:rPr>
        <w:t xml:space="preserve"> </w:t>
      </w:r>
      <w:r w:rsidRPr="00A33F3D">
        <w:t>subsp.</w:t>
      </w:r>
      <w:r w:rsidRPr="002A372B">
        <w:t xml:space="preserve"> </w:t>
      </w:r>
      <w:proofErr w:type="spellStart"/>
      <w:r w:rsidRPr="00EF5494">
        <w:rPr>
          <w:i/>
        </w:rPr>
        <w:t>juniperina</w:t>
      </w:r>
      <w:proofErr w:type="spellEnd"/>
      <w:r>
        <w:t xml:space="preserve"> </w:t>
      </w:r>
      <w:r w:rsidRPr="00307B32">
        <w:t>(TSC)</w:t>
      </w:r>
    </w:p>
    <w:p w14:paraId="4477FB1A" w14:textId="7972636B" w:rsidR="00EF5494" w:rsidRDefault="00EF5494" w:rsidP="00EF5494">
      <w:pPr>
        <w:pStyle w:val="ListBullet2"/>
      </w:pPr>
      <w:proofErr w:type="spellStart"/>
      <w:r w:rsidRPr="00EF5494">
        <w:rPr>
          <w:i/>
        </w:rPr>
        <w:t>Marsdenia</w:t>
      </w:r>
      <w:proofErr w:type="spellEnd"/>
      <w:r w:rsidRPr="00EF5494">
        <w:rPr>
          <w:i/>
        </w:rPr>
        <w:t xml:space="preserve"> </w:t>
      </w:r>
      <w:proofErr w:type="spellStart"/>
      <w:r w:rsidRPr="00EF5494">
        <w:rPr>
          <w:i/>
        </w:rPr>
        <w:t>viridiflora</w:t>
      </w:r>
      <w:proofErr w:type="spellEnd"/>
      <w:r w:rsidRPr="00A33F3D">
        <w:t xml:space="preserve"> subsp. </w:t>
      </w:r>
      <w:proofErr w:type="spellStart"/>
      <w:r w:rsidRPr="00EF5494">
        <w:rPr>
          <w:i/>
        </w:rPr>
        <w:t>viridiflora</w:t>
      </w:r>
      <w:proofErr w:type="spellEnd"/>
      <w:r>
        <w:t xml:space="preserve"> (TSC listed endangered population).</w:t>
      </w:r>
    </w:p>
    <w:p w14:paraId="748AE60B" w14:textId="77777777" w:rsidR="00945569" w:rsidRDefault="007D5E07" w:rsidP="00AF0095">
      <w:pPr>
        <w:pStyle w:val="ListBullet"/>
        <w:sectPr w:rsidR="00945569" w:rsidSect="007A0226">
          <w:type w:val="oddPage"/>
          <w:pgSz w:w="11900" w:h="16840"/>
          <w:pgMar w:top="1418" w:right="1418" w:bottom="1418" w:left="1418" w:header="709" w:footer="709" w:gutter="0"/>
          <w:cols w:space="708"/>
          <w:docGrid w:linePitch="360"/>
        </w:sectPr>
      </w:pPr>
      <w:r>
        <w:t>Undertake t</w:t>
      </w:r>
      <w:r w:rsidR="00710077">
        <w:t>argeted survey for the following threatened fauna species</w:t>
      </w:r>
      <w:r w:rsidR="00B51D0F">
        <w:t xml:space="preserve"> (all TSC listed, and also EPBC listed where noted)</w:t>
      </w:r>
      <w:r w:rsidR="00710077">
        <w:t>:</w:t>
      </w:r>
    </w:p>
    <w:p w14:paraId="39961F3C" w14:textId="77777777" w:rsidR="00945569" w:rsidRPr="00710077" w:rsidRDefault="00945569" w:rsidP="00945569">
      <w:pPr>
        <w:pStyle w:val="ListBullet2"/>
      </w:pPr>
      <w:r w:rsidRPr="00710077">
        <w:t>Giant Burrowing Frog (EPBC)</w:t>
      </w:r>
    </w:p>
    <w:p w14:paraId="4F391C96" w14:textId="77777777" w:rsidR="00945569" w:rsidRPr="00710077" w:rsidRDefault="00945569" w:rsidP="00945569">
      <w:pPr>
        <w:pStyle w:val="ListBullet2"/>
      </w:pPr>
      <w:r w:rsidRPr="00710077">
        <w:t>Green and Golden Bell Frog (EPBC)</w:t>
      </w:r>
    </w:p>
    <w:p w14:paraId="5D0A8487" w14:textId="77777777" w:rsidR="00945569" w:rsidRDefault="00945569" w:rsidP="00945569">
      <w:pPr>
        <w:pStyle w:val="ListBullet2"/>
      </w:pPr>
      <w:r>
        <w:t>Regent Honeyeater (EPBC)</w:t>
      </w:r>
    </w:p>
    <w:p w14:paraId="778B074E" w14:textId="77777777" w:rsidR="00945569" w:rsidRDefault="00945569" w:rsidP="00945569">
      <w:pPr>
        <w:pStyle w:val="ListBullet2"/>
      </w:pPr>
      <w:r>
        <w:t>Swift Parrot (EPBC)</w:t>
      </w:r>
    </w:p>
    <w:p w14:paraId="2BA43A7E" w14:textId="77777777" w:rsidR="00945569" w:rsidRDefault="00945569" w:rsidP="00945569">
      <w:pPr>
        <w:pStyle w:val="ListBullet2"/>
      </w:pPr>
      <w:r>
        <w:t>Grey-headed Flying-fox (EPBC)</w:t>
      </w:r>
    </w:p>
    <w:p w14:paraId="5664B0B0" w14:textId="77777777" w:rsidR="00945569" w:rsidRDefault="00945569" w:rsidP="00945569">
      <w:pPr>
        <w:pStyle w:val="ListBullet2"/>
      </w:pPr>
      <w:r>
        <w:t>Large-eared Pied Bat (EPBC)</w:t>
      </w:r>
    </w:p>
    <w:p w14:paraId="6FDB43A0" w14:textId="77777777" w:rsidR="00945569" w:rsidRPr="00710077" w:rsidRDefault="00945569" w:rsidP="00945569">
      <w:pPr>
        <w:pStyle w:val="ListBullet2"/>
      </w:pPr>
      <w:r>
        <w:t>Barking Owl</w:t>
      </w:r>
    </w:p>
    <w:p w14:paraId="49BE3C59" w14:textId="77777777" w:rsidR="00945569" w:rsidRPr="00710077" w:rsidRDefault="00945569" w:rsidP="00945569">
      <w:pPr>
        <w:pStyle w:val="ListBullet2"/>
      </w:pPr>
      <w:r w:rsidRPr="00710077">
        <w:t>Black-chinned Honeyeater</w:t>
      </w:r>
    </w:p>
    <w:p w14:paraId="221DF97A" w14:textId="77777777" w:rsidR="00945569" w:rsidRPr="00710077" w:rsidRDefault="00945569" w:rsidP="00945569">
      <w:pPr>
        <w:pStyle w:val="ListBullet2"/>
      </w:pPr>
      <w:r w:rsidRPr="00710077">
        <w:t>Diamond Firetail</w:t>
      </w:r>
    </w:p>
    <w:p w14:paraId="72F87A4F" w14:textId="77777777" w:rsidR="00945569" w:rsidRPr="00710077" w:rsidRDefault="00945569" w:rsidP="00945569">
      <w:pPr>
        <w:pStyle w:val="ListBullet2"/>
      </w:pPr>
      <w:r w:rsidRPr="00710077">
        <w:t>Flame Robin</w:t>
      </w:r>
    </w:p>
    <w:p w14:paraId="4179235B" w14:textId="77777777" w:rsidR="00945569" w:rsidRPr="00710077" w:rsidRDefault="00945569" w:rsidP="00945569">
      <w:pPr>
        <w:pStyle w:val="ListBullet2"/>
      </w:pPr>
      <w:r w:rsidRPr="00710077">
        <w:t>Gang-gang Cockatoo</w:t>
      </w:r>
    </w:p>
    <w:p w14:paraId="5F4E413C" w14:textId="77777777" w:rsidR="00945569" w:rsidRDefault="00945569" w:rsidP="00945569">
      <w:pPr>
        <w:pStyle w:val="ListBullet2"/>
      </w:pPr>
      <w:r w:rsidRPr="00710077">
        <w:t>Glossy Black-cockatoo</w:t>
      </w:r>
    </w:p>
    <w:p w14:paraId="26E5FC62" w14:textId="63619E86" w:rsidR="00945569" w:rsidRDefault="00945569" w:rsidP="00945569">
      <w:pPr>
        <w:pStyle w:val="ListBullet2"/>
      </w:pPr>
      <w:r>
        <w:t>Hooded Robin</w:t>
      </w:r>
      <w:r>
        <w:br w:type="column"/>
        <w:t>Little Eagle</w:t>
      </w:r>
    </w:p>
    <w:p w14:paraId="600FF153" w14:textId="77777777" w:rsidR="00945569" w:rsidRDefault="00945569" w:rsidP="00945569">
      <w:pPr>
        <w:pStyle w:val="ListBullet2"/>
      </w:pPr>
      <w:r>
        <w:t>Little Lorikeet</w:t>
      </w:r>
    </w:p>
    <w:p w14:paraId="5EA9E00E" w14:textId="77777777" w:rsidR="00945569" w:rsidRDefault="00945569" w:rsidP="00945569">
      <w:pPr>
        <w:pStyle w:val="ListBullet2"/>
      </w:pPr>
      <w:r>
        <w:t>Powerful Owl</w:t>
      </w:r>
    </w:p>
    <w:p w14:paraId="3605704C" w14:textId="77777777" w:rsidR="00945569" w:rsidRDefault="00945569" w:rsidP="00945569">
      <w:pPr>
        <w:pStyle w:val="ListBullet2"/>
      </w:pPr>
      <w:r>
        <w:t>Masked Owl</w:t>
      </w:r>
    </w:p>
    <w:p w14:paraId="09B1ED14" w14:textId="77777777" w:rsidR="00945569" w:rsidRDefault="00945569" w:rsidP="00945569">
      <w:pPr>
        <w:pStyle w:val="ListBullet2"/>
      </w:pPr>
      <w:r>
        <w:t>Scarlet Robin</w:t>
      </w:r>
    </w:p>
    <w:p w14:paraId="09E0C719" w14:textId="77777777" w:rsidR="00945569" w:rsidRDefault="00945569" w:rsidP="00945569">
      <w:pPr>
        <w:pStyle w:val="ListBullet2"/>
      </w:pPr>
      <w:r>
        <w:t>Speckled Warbler</w:t>
      </w:r>
    </w:p>
    <w:p w14:paraId="0F42D1B7" w14:textId="77777777" w:rsidR="00945569" w:rsidRDefault="00945569" w:rsidP="00945569">
      <w:pPr>
        <w:pStyle w:val="ListBullet2"/>
      </w:pPr>
      <w:r>
        <w:t>Square-tailed Kite</w:t>
      </w:r>
    </w:p>
    <w:p w14:paraId="117425D6" w14:textId="77777777" w:rsidR="00945569" w:rsidRDefault="00945569" w:rsidP="00945569">
      <w:pPr>
        <w:pStyle w:val="ListBullet2"/>
      </w:pPr>
      <w:r>
        <w:t>Varied Sittella</w:t>
      </w:r>
    </w:p>
    <w:p w14:paraId="2FDC39BE" w14:textId="77777777" w:rsidR="00945569" w:rsidRDefault="00945569" w:rsidP="00945569">
      <w:pPr>
        <w:pStyle w:val="ListBullet2"/>
      </w:pPr>
      <w:r>
        <w:t>Cumberland Land Snail</w:t>
      </w:r>
    </w:p>
    <w:p w14:paraId="2E9FEDF0" w14:textId="77777777" w:rsidR="00945569" w:rsidRDefault="00945569" w:rsidP="00945569">
      <w:pPr>
        <w:pStyle w:val="ListBullet2"/>
      </w:pPr>
      <w:r>
        <w:t xml:space="preserve">Eastern </w:t>
      </w:r>
      <w:proofErr w:type="spellStart"/>
      <w:r>
        <w:t>Bentwing</w:t>
      </w:r>
      <w:proofErr w:type="spellEnd"/>
      <w:r>
        <w:t xml:space="preserve"> Bat</w:t>
      </w:r>
    </w:p>
    <w:p w14:paraId="4877E7B4" w14:textId="77777777" w:rsidR="00945569" w:rsidRDefault="00945569" w:rsidP="00945569">
      <w:pPr>
        <w:pStyle w:val="ListBullet2"/>
      </w:pPr>
      <w:r>
        <w:t xml:space="preserve">Eastern </w:t>
      </w:r>
      <w:proofErr w:type="spellStart"/>
      <w:r>
        <w:t>Freetail</w:t>
      </w:r>
      <w:proofErr w:type="spellEnd"/>
      <w:r>
        <w:t xml:space="preserve"> Bat</w:t>
      </w:r>
    </w:p>
    <w:p w14:paraId="3B00C439" w14:textId="77777777" w:rsidR="00945569" w:rsidRDefault="00945569" w:rsidP="00945569">
      <w:pPr>
        <w:pStyle w:val="ListBullet2"/>
      </w:pPr>
      <w:r>
        <w:t>Greater Broad-nosed Bat</w:t>
      </w:r>
    </w:p>
    <w:p w14:paraId="40E18F74" w14:textId="09924927" w:rsidR="00945569" w:rsidRDefault="00945569" w:rsidP="00945569">
      <w:pPr>
        <w:pStyle w:val="ListBullet2"/>
      </w:pPr>
      <w:r>
        <w:t xml:space="preserve">Southern </w:t>
      </w:r>
      <w:proofErr w:type="spellStart"/>
      <w:r>
        <w:t>Myotis</w:t>
      </w:r>
      <w:proofErr w:type="spellEnd"/>
      <w:r>
        <w:t>.</w:t>
      </w:r>
    </w:p>
    <w:p w14:paraId="67FE3E58" w14:textId="77777777" w:rsidR="00945569" w:rsidRDefault="00945569" w:rsidP="00945569">
      <w:pPr>
        <w:pStyle w:val="ListBullet"/>
        <w:numPr>
          <w:ilvl w:val="0"/>
          <w:numId w:val="0"/>
        </w:numPr>
        <w:ind w:left="425" w:hanging="425"/>
        <w:sectPr w:rsidR="00945569" w:rsidSect="00945569">
          <w:type w:val="continuous"/>
          <w:pgSz w:w="11900" w:h="16840"/>
          <w:pgMar w:top="1418" w:right="1418" w:bottom="1418" w:left="1418" w:header="709" w:footer="709" w:gutter="0"/>
          <w:cols w:num="2" w:space="708"/>
          <w:docGrid w:linePitch="360"/>
        </w:sectPr>
      </w:pPr>
    </w:p>
    <w:p w14:paraId="6B0EF6E8" w14:textId="367D08B4" w:rsidR="00710077" w:rsidRDefault="007D5E07" w:rsidP="00AF0095">
      <w:pPr>
        <w:pStyle w:val="ListBullet"/>
      </w:pPr>
      <w:r>
        <w:t>Undertake t</w:t>
      </w:r>
      <w:r w:rsidR="00710077">
        <w:t xml:space="preserve">argeted survey for migratory species with potential habitat in the study area: Cattle Egret, Fork-tailed Swift, Great Egret, Latham’s Snipe, Rainbow Bee-eater, </w:t>
      </w:r>
      <w:proofErr w:type="spellStart"/>
      <w:r w:rsidR="00710077">
        <w:t>Rufous</w:t>
      </w:r>
      <w:proofErr w:type="spellEnd"/>
      <w:r w:rsidR="00710077">
        <w:t xml:space="preserve"> Fantail and White-throated </w:t>
      </w:r>
      <w:proofErr w:type="spellStart"/>
      <w:r w:rsidR="00710077">
        <w:t>Needletail</w:t>
      </w:r>
      <w:proofErr w:type="spellEnd"/>
      <w:r w:rsidR="00710077">
        <w:t>.</w:t>
      </w:r>
    </w:p>
    <w:p w14:paraId="143DFBC2" w14:textId="779FF1A6" w:rsidR="00710077" w:rsidRDefault="007D5E07" w:rsidP="00AF0095">
      <w:pPr>
        <w:pStyle w:val="ListBullet"/>
      </w:pPr>
      <w:r>
        <w:t>Undertake f</w:t>
      </w:r>
      <w:r w:rsidR="00710077">
        <w:t xml:space="preserve">urther survey of </w:t>
      </w:r>
      <w:r w:rsidR="004F784E">
        <w:t>representative</w:t>
      </w:r>
      <w:r w:rsidR="00710077">
        <w:t xml:space="preserve"> aquatic environments throughout the study area, with targeted surveys </w:t>
      </w:r>
      <w:r>
        <w:t>of</w:t>
      </w:r>
      <w:r w:rsidR="00710077">
        <w:t xml:space="preserve"> known threatened aquatic flora and fauna.</w:t>
      </w:r>
    </w:p>
    <w:p w14:paraId="0F758984" w14:textId="77777777" w:rsidR="003B00DE" w:rsidRDefault="003B00DE" w:rsidP="00BE3216">
      <w:pPr>
        <w:pStyle w:val="BodyText"/>
      </w:pPr>
    </w:p>
    <w:p w14:paraId="6DD9EC44" w14:textId="77777777" w:rsidR="00261470" w:rsidRDefault="00261470" w:rsidP="003B00DE">
      <w:pPr>
        <w:pStyle w:val="Heading1"/>
        <w:sectPr w:rsidR="00261470" w:rsidSect="00EF5494">
          <w:type w:val="continuous"/>
          <w:pgSz w:w="11900" w:h="16840"/>
          <w:pgMar w:top="1418" w:right="1418" w:bottom="1418" w:left="1418" w:header="709" w:footer="709" w:gutter="0"/>
          <w:cols w:space="708"/>
          <w:docGrid w:linePitch="360"/>
        </w:sectPr>
      </w:pPr>
    </w:p>
    <w:p w14:paraId="4E772432" w14:textId="1D04F5F3" w:rsidR="003B00DE" w:rsidRDefault="003B00DE" w:rsidP="003B00DE">
      <w:pPr>
        <w:pStyle w:val="Heading1"/>
      </w:pPr>
      <w:bookmarkStart w:id="40" w:name="_Toc400720077"/>
      <w:r>
        <w:t>Historic heritage</w:t>
      </w:r>
      <w:bookmarkEnd w:id="40"/>
    </w:p>
    <w:p w14:paraId="3EB95D40" w14:textId="77777777" w:rsidR="005720AC" w:rsidRDefault="005720AC" w:rsidP="005720AC">
      <w:pPr>
        <w:pStyle w:val="Heading2"/>
      </w:pPr>
      <w:bookmarkStart w:id="41" w:name="_Toc400720078"/>
      <w:r>
        <w:t>Previous investigations</w:t>
      </w:r>
      <w:bookmarkEnd w:id="41"/>
    </w:p>
    <w:p w14:paraId="1B6F58AB" w14:textId="4413103E" w:rsidR="001A10EF" w:rsidRDefault="001A10EF" w:rsidP="001A10EF">
      <w:pPr>
        <w:pStyle w:val="Heading3"/>
      </w:pPr>
      <w:r>
        <w:t>1997 Draft EIS</w:t>
      </w:r>
    </w:p>
    <w:p w14:paraId="29D76B2A" w14:textId="69C0E51B" w:rsidR="005D7179" w:rsidRDefault="008F4E95" w:rsidP="005D7179">
      <w:pPr>
        <w:pStyle w:val="BodyText"/>
      </w:pPr>
      <w:r>
        <w:t xml:space="preserve">Chapter 21 of the Draft EIS addressed the non-Aboriginal </w:t>
      </w:r>
      <w:r w:rsidR="00EB5EBE">
        <w:t>(</w:t>
      </w:r>
      <w:proofErr w:type="gramStart"/>
      <w:r w:rsidR="00EB5EBE">
        <w:t>historic )</w:t>
      </w:r>
      <w:proofErr w:type="gramEnd"/>
      <w:r w:rsidR="00EB5EBE">
        <w:t xml:space="preserve"> </w:t>
      </w:r>
      <w:r>
        <w:t xml:space="preserve">cultural heritage impacts of the </w:t>
      </w:r>
      <w:r w:rsidR="00273E7D">
        <w:t xml:space="preserve">then </w:t>
      </w:r>
      <w:r w:rsidR="00EB5EBE">
        <w:t>proposed Second Sydney Airport.</w:t>
      </w:r>
      <w:r w:rsidR="005D7179">
        <w:t xml:space="preserve"> Discussion was based on a separate specialist investigation documented in </w:t>
      </w:r>
      <w:r w:rsidR="005D7179" w:rsidRPr="005D7179">
        <w:rPr>
          <w:i/>
        </w:rPr>
        <w:t>Technical Paper 12: Non-Aboriginal Cultural Heritage</w:t>
      </w:r>
      <w:r w:rsidR="005D7179">
        <w:t xml:space="preserve"> (Godden Mackay 1997).</w:t>
      </w:r>
    </w:p>
    <w:p w14:paraId="6220B291" w14:textId="7A3FA081" w:rsidR="001A10EF" w:rsidRDefault="00CE7916" w:rsidP="005D7179">
      <w:pPr>
        <w:pStyle w:val="BodyText"/>
      </w:pPr>
      <w:r>
        <w:t xml:space="preserve">Historic heritage items were identified through a combination of primary and secondary research, field surveys, reviews of existing heritage studies, and reviews of existing heritage listings. An assessment of significance was undertaken for each item using the criteria provided in the </w:t>
      </w:r>
      <w:r w:rsidRPr="00CE7916">
        <w:rPr>
          <w:i/>
        </w:rPr>
        <w:t>NSW Heritage Manual</w:t>
      </w:r>
      <w:r>
        <w:t xml:space="preserve"> (Heritage Office, Department of Urban Affairs and Planning 1996). The investigation </w:t>
      </w:r>
      <w:r w:rsidR="00717D37">
        <w:t xml:space="preserve">also </w:t>
      </w:r>
      <w:r>
        <w:t xml:space="preserve">identified </w:t>
      </w:r>
      <w:r w:rsidR="00A50C22">
        <w:t>a range of management measures to mitigate impacts.</w:t>
      </w:r>
    </w:p>
    <w:p w14:paraId="15E0272C" w14:textId="77777777" w:rsidR="00B9760A" w:rsidRDefault="00B9760A" w:rsidP="005613AC">
      <w:pPr>
        <w:pStyle w:val="Subheading"/>
      </w:pPr>
      <w:r>
        <w:t>Auditor’s Report</w:t>
      </w:r>
    </w:p>
    <w:p w14:paraId="683B2A47" w14:textId="5585B408" w:rsidR="005720AC" w:rsidRDefault="005D7179" w:rsidP="005720AC">
      <w:pPr>
        <w:pStyle w:val="BodyText"/>
      </w:pPr>
      <w:r>
        <w:t>The Auditor’s Report</w:t>
      </w:r>
      <w:r w:rsidR="00F923EB">
        <w:t xml:space="preserve"> on the Draft EIS</w:t>
      </w:r>
      <w:r>
        <w:t xml:space="preserve"> (SMEC 1998) concluded that the investigation achieved all the objectives identified in the EIS Guidelines for the Draft EIS studies and that the Technical Paper followed a methodology that complied with (then) current best practice in the heritage field.</w:t>
      </w:r>
      <w:r w:rsidR="00A50C22">
        <w:t xml:space="preserve"> It noted that while the information provided in the Draft EIS was limited, and critical analysis of the data and conclusions required reference to the Technical Paper, Chapter 21 was an accurate summary of the Technical </w:t>
      </w:r>
      <w:r w:rsidR="00F923EB">
        <w:t>P</w:t>
      </w:r>
      <w:r w:rsidR="00A50C22">
        <w:t>aper.</w:t>
      </w:r>
    </w:p>
    <w:p w14:paraId="2A62FB8F" w14:textId="3259590B" w:rsidR="001A10EF" w:rsidRDefault="001A10EF" w:rsidP="001A10EF">
      <w:pPr>
        <w:pStyle w:val="Heading3"/>
      </w:pPr>
      <w:r>
        <w:t>1999 Supplement to the Draft EIS</w:t>
      </w:r>
    </w:p>
    <w:p w14:paraId="472F201F" w14:textId="20F07624" w:rsidR="00725CC5" w:rsidRDefault="001A10EF" w:rsidP="005720AC">
      <w:pPr>
        <w:pStyle w:val="BodyText"/>
      </w:pPr>
      <w:r>
        <w:t xml:space="preserve">Chapter 18 of the Supplement to the Draft EIS </w:t>
      </w:r>
      <w:r w:rsidR="00F923EB">
        <w:t xml:space="preserve">summarised the findings of the </w:t>
      </w:r>
      <w:r w:rsidR="00B444F0">
        <w:t>Draft EIS</w:t>
      </w:r>
      <w:r w:rsidR="00FB04AF">
        <w:t xml:space="preserve"> and issues raised in submissions. Further information was provided on the methodology and scope of the assessment for the historic heritage investigation including:</w:t>
      </w:r>
    </w:p>
    <w:p w14:paraId="2679A1EB" w14:textId="0F1B40A7" w:rsidR="00FB04AF" w:rsidRDefault="00183087" w:rsidP="00AF0095">
      <w:pPr>
        <w:pStyle w:val="ListBullet"/>
      </w:pPr>
      <w:r>
        <w:t>j</w:t>
      </w:r>
      <w:r w:rsidR="00FB04AF">
        <w:t>ustification for not undertaking a preliminary field survey</w:t>
      </w:r>
    </w:p>
    <w:p w14:paraId="2DEF4CC5" w14:textId="4F9D25DC" w:rsidR="00FB04AF" w:rsidRDefault="00183087" w:rsidP="00AF0095">
      <w:pPr>
        <w:pStyle w:val="ListBullet"/>
      </w:pPr>
      <w:proofErr w:type="gramStart"/>
      <w:r>
        <w:t>j</w:t>
      </w:r>
      <w:r w:rsidR="006C5274">
        <w:t>ustification</w:t>
      </w:r>
      <w:proofErr w:type="gramEnd"/>
      <w:r w:rsidR="006C5274">
        <w:t xml:space="preserve"> for e</w:t>
      </w:r>
      <w:r w:rsidR="00FB04AF">
        <w:t>xclusion of historic heritage items not located within or immediately adjacent to the air</w:t>
      </w:r>
      <w:r w:rsidR="006C5274">
        <w:t>p</w:t>
      </w:r>
      <w:r w:rsidR="00FB04AF">
        <w:t>ort options.</w:t>
      </w:r>
    </w:p>
    <w:p w14:paraId="04348827" w14:textId="77777777" w:rsidR="00E901CE" w:rsidRDefault="00E901CE" w:rsidP="00E901CE">
      <w:pPr>
        <w:pStyle w:val="BodyText"/>
      </w:pPr>
      <w:r>
        <w:t>It was noted that historic heritage resources within the study area included a diverse range of elements. While some evidence was readily available, much was considered to be concealed or buried. It was therefore impossible to assess this material without detailed, individual site-specific research and physical examination.</w:t>
      </w:r>
    </w:p>
    <w:p w14:paraId="6D4DA954" w14:textId="4663F39F" w:rsidR="00E901CE" w:rsidRDefault="00E901CE" w:rsidP="005720AC">
      <w:pPr>
        <w:pStyle w:val="BodyText"/>
      </w:pPr>
      <w:r>
        <w:t>The assessment identified an additional nine items as having sufficient cultural significance to warrant entry on the Register of the National Estate (RNE). The nine items were already listed on the relevant LEPs for their respective LGAs.</w:t>
      </w:r>
    </w:p>
    <w:p w14:paraId="3017090E" w14:textId="01F8B889" w:rsidR="006937C6" w:rsidRDefault="006937C6" w:rsidP="005720AC">
      <w:pPr>
        <w:pStyle w:val="BodyText"/>
      </w:pPr>
      <w:r>
        <w:t>Additional assessment was undertaken to determine the cumulative impacts of the airport development on historic heritage in the Liverpool LGA.</w:t>
      </w:r>
      <w:r w:rsidR="00887D4C">
        <w:t xml:space="preserve"> It was concluded that cumulative impacts would not be severe given the affected items were not of high heritage significance and for which the </w:t>
      </w:r>
      <w:r w:rsidR="005C6016">
        <w:t xml:space="preserve">loss of </w:t>
      </w:r>
      <w:r w:rsidR="00887D4C">
        <w:t xml:space="preserve">major heritage values would </w:t>
      </w:r>
      <w:r w:rsidR="00273E7D">
        <w:t xml:space="preserve">not </w:t>
      </w:r>
      <w:r w:rsidR="00887D4C">
        <w:t>be irreplaceable. It was also noted that there were comparable heritage items to those impacted, either in other nearby areas or spread throughout the region.</w:t>
      </w:r>
    </w:p>
    <w:p w14:paraId="42E0E25F" w14:textId="50588723" w:rsidR="00B75022" w:rsidRDefault="00B75022" w:rsidP="005720AC">
      <w:pPr>
        <w:pStyle w:val="BodyText"/>
      </w:pPr>
      <w:r>
        <w:t xml:space="preserve">The Supplement to the Draft EIS </w:t>
      </w:r>
      <w:r w:rsidR="00AE6304">
        <w:t xml:space="preserve">discussed </w:t>
      </w:r>
      <w:r>
        <w:t>the</w:t>
      </w:r>
      <w:r w:rsidR="0088723B">
        <w:t xml:space="preserve"> </w:t>
      </w:r>
      <w:r>
        <w:t xml:space="preserve">then potential listing of </w:t>
      </w:r>
      <w:r w:rsidR="00AE6304">
        <w:t>the Greater Blue Mountains Area as a World Heritage site. It note</w:t>
      </w:r>
      <w:r w:rsidR="000D1120">
        <w:t>d</w:t>
      </w:r>
      <w:r w:rsidR="00AE6304">
        <w:t xml:space="preserve"> that the basis of the listing related to biological diversity, landscape heritage values and Aboriginal heritage va</w:t>
      </w:r>
      <w:r w:rsidR="000D1120">
        <w:t>l</w:t>
      </w:r>
      <w:r w:rsidR="00AE6304">
        <w:t>ues</w:t>
      </w:r>
      <w:r w:rsidR="000D1120">
        <w:t xml:space="preserve">, rather than historic heritage values. </w:t>
      </w:r>
      <w:r w:rsidR="000D1120" w:rsidRPr="000D1120">
        <w:t xml:space="preserve">The Greater Blue Mountains </w:t>
      </w:r>
      <w:r w:rsidR="000D1120">
        <w:t xml:space="preserve">Area </w:t>
      </w:r>
      <w:r w:rsidR="000D1120" w:rsidRPr="000D1120">
        <w:t xml:space="preserve">was </w:t>
      </w:r>
      <w:r w:rsidR="000D1120">
        <w:t xml:space="preserve">subsequently </w:t>
      </w:r>
      <w:r w:rsidR="000D1120" w:rsidRPr="000D1120">
        <w:t>inscribed on the World Heritage List in 2000</w:t>
      </w:r>
      <w:r w:rsidR="000D1120">
        <w:t>.</w:t>
      </w:r>
    </w:p>
    <w:p w14:paraId="7EC337C6" w14:textId="6052DA66" w:rsidR="006937C6" w:rsidRDefault="00887D4C" w:rsidP="005720AC">
      <w:pPr>
        <w:pStyle w:val="BodyText"/>
      </w:pPr>
      <w:r>
        <w:t>Further details were provided in relation to management measures addressing:</w:t>
      </w:r>
    </w:p>
    <w:p w14:paraId="395378F2" w14:textId="08CCC89E" w:rsidR="00887D4C" w:rsidRDefault="00183087" w:rsidP="00AF0095">
      <w:pPr>
        <w:pStyle w:val="ListBullet"/>
      </w:pPr>
      <w:r>
        <w:t>a</w:t>
      </w:r>
      <w:r w:rsidR="00887D4C">
        <w:t>rchaeological assessment and management</w:t>
      </w:r>
    </w:p>
    <w:p w14:paraId="65915C89" w14:textId="7EA597E8" w:rsidR="00887D4C" w:rsidRDefault="00183087" w:rsidP="00AF0095">
      <w:pPr>
        <w:pStyle w:val="ListBullet"/>
      </w:pPr>
      <w:r>
        <w:t>r</w:t>
      </w:r>
      <w:r w:rsidR="00887D4C">
        <w:t>elocation of two impacted cemeteries</w:t>
      </w:r>
    </w:p>
    <w:p w14:paraId="28A738FC" w14:textId="2171EBF9" w:rsidR="00887D4C" w:rsidRDefault="00183087" w:rsidP="00AF0095">
      <w:pPr>
        <w:pStyle w:val="ListBullet"/>
      </w:pPr>
      <w:r>
        <w:t>m</w:t>
      </w:r>
      <w:r w:rsidR="00887D4C">
        <w:t>anagement of National Estate values</w:t>
      </w:r>
    </w:p>
    <w:p w14:paraId="50D568BC" w14:textId="2228962B" w:rsidR="00887D4C" w:rsidRDefault="00183087" w:rsidP="00AF0095">
      <w:pPr>
        <w:pStyle w:val="ListBullet"/>
      </w:pPr>
      <w:r>
        <w:t>s</w:t>
      </w:r>
      <w:r w:rsidR="00887D4C">
        <w:t>pecific management for archaeological resources</w:t>
      </w:r>
    </w:p>
    <w:p w14:paraId="2E7B97A5" w14:textId="7C5819A7" w:rsidR="00887D4C" w:rsidRDefault="00183087" w:rsidP="00AF0095">
      <w:pPr>
        <w:pStyle w:val="ListBullet"/>
      </w:pPr>
      <w:proofErr w:type="gramStart"/>
      <w:r>
        <w:t>m</w:t>
      </w:r>
      <w:r w:rsidR="00887D4C">
        <w:t>anagement</w:t>
      </w:r>
      <w:proofErr w:type="gramEnd"/>
      <w:r w:rsidR="00887D4C">
        <w:t xml:space="preserve"> measures for heritage items close to the site and within the airport options.</w:t>
      </w:r>
    </w:p>
    <w:p w14:paraId="164922C2" w14:textId="77777777" w:rsidR="00B9760A" w:rsidRDefault="00B9760A" w:rsidP="005613AC">
      <w:pPr>
        <w:pStyle w:val="Subheading"/>
      </w:pPr>
      <w:r>
        <w:t>Auditor’s Report</w:t>
      </w:r>
    </w:p>
    <w:p w14:paraId="302840D3" w14:textId="4DE377C1" w:rsidR="00887D4C" w:rsidRDefault="00F923EB" w:rsidP="005720AC">
      <w:pPr>
        <w:pStyle w:val="BodyText"/>
      </w:pPr>
      <w:r>
        <w:t>The Auditor’s Report on the Supplement to the Draft EIS (SMEC 1999) noted that the Supplement had addressed the comments made in public submissions and re-evaluated 23 heritage items (associated with all three airport options) in terms of National Heritage Values.</w:t>
      </w:r>
      <w:r w:rsidR="00E901CE">
        <w:t xml:space="preserve"> It also noted the identification of </w:t>
      </w:r>
      <w:r w:rsidR="005C6016">
        <w:t>an</w:t>
      </w:r>
      <w:r w:rsidR="00E901CE">
        <w:t xml:space="preserve"> additional nine heritage items and recommended that any future comparison of options include consideration of how each item would be affected. The potential for future excavation to encounter subsurface items of heritage significance was noted.</w:t>
      </w:r>
    </w:p>
    <w:p w14:paraId="4A41D3EB" w14:textId="35D72D76" w:rsidR="00D052DE" w:rsidRDefault="00D052DE" w:rsidP="00D052DE">
      <w:pPr>
        <w:pStyle w:val="Heading3"/>
      </w:pPr>
      <w:r>
        <w:t xml:space="preserve">1999 Environment Australia </w:t>
      </w:r>
      <w:r w:rsidR="00E82C51">
        <w:t>A</w:t>
      </w:r>
      <w:r>
        <w:t xml:space="preserve">ssessment </w:t>
      </w:r>
      <w:r w:rsidR="00E82C51">
        <w:t>R</w:t>
      </w:r>
      <w:r>
        <w:t>eport</w:t>
      </w:r>
    </w:p>
    <w:p w14:paraId="0E1BF82E" w14:textId="0F74F834" w:rsidR="009B550A" w:rsidRDefault="009B550A" w:rsidP="009B550A">
      <w:pPr>
        <w:pStyle w:val="BodyText"/>
      </w:pPr>
      <w:r>
        <w:t xml:space="preserve">Environment Australia’s report summarised the findings in the draft EIS, </w:t>
      </w:r>
      <w:r w:rsidR="00051D7B">
        <w:t xml:space="preserve">the </w:t>
      </w:r>
      <w:r>
        <w:t xml:space="preserve">Supplement </w:t>
      </w:r>
      <w:r w:rsidR="00051D7B">
        <w:t xml:space="preserve">to the Draft </w:t>
      </w:r>
      <w:r>
        <w:t xml:space="preserve">and </w:t>
      </w:r>
      <w:r w:rsidR="00051D7B">
        <w:t xml:space="preserve">the two </w:t>
      </w:r>
      <w:r>
        <w:t>Auditor’s Reports.</w:t>
      </w:r>
      <w:r w:rsidR="00CE187B">
        <w:t xml:space="preserve"> </w:t>
      </w:r>
      <w:r>
        <w:t xml:space="preserve">The following points </w:t>
      </w:r>
      <w:r w:rsidR="00051D7B">
        <w:t xml:space="preserve">were made in </w:t>
      </w:r>
      <w:r>
        <w:t>relation to the assessment of historic heritage:</w:t>
      </w:r>
    </w:p>
    <w:p w14:paraId="620CC730" w14:textId="7109AC59" w:rsidR="009B550A" w:rsidRDefault="009B550A" w:rsidP="00AF0095">
      <w:pPr>
        <w:pStyle w:val="ListBullet"/>
      </w:pPr>
      <w:r>
        <w:t>The known heritage values of places in the Badgerys Creek area appear to have been adequately assessed on an individual basis. The understanding of their collective value could have benefited from additional comparative assessment with sites in other similar areas in the region, but their level of significance would be unlikely to change as a result of such an assessment.</w:t>
      </w:r>
    </w:p>
    <w:p w14:paraId="1F426B69" w14:textId="1C1BF80F" w:rsidR="009B550A" w:rsidRDefault="009B550A" w:rsidP="00AF0095">
      <w:pPr>
        <w:pStyle w:val="ListBullet"/>
      </w:pPr>
      <w:r>
        <w:t>The cumulative impact assessment prepared for the Supplement did not take into account the impacts of airport operations on the setting and ambience of remaining heritage items or the impacts of consequential land uses or infrastructure upon the remaining heritage resources of the region. The loss of 13</w:t>
      </w:r>
      <w:r w:rsidR="00CE187B">
        <w:t>–</w:t>
      </w:r>
      <w:r>
        <w:t>17 heritage items within the site and the consequential regional impacts of an airport and associated infrastructure would have a significant impact on the heritage resource of the region. The significance of the remaining heritage sites within the region would be elevated due to the loss of the sites at Badgerys Creek.</w:t>
      </w:r>
    </w:p>
    <w:p w14:paraId="521F4EFE" w14:textId="77777777" w:rsidR="009B550A" w:rsidRDefault="009B550A" w:rsidP="009B550A">
      <w:pPr>
        <w:pStyle w:val="BodyText"/>
      </w:pPr>
      <w:r>
        <w:t>The following recommendations were made by Environment Australia:</w:t>
      </w:r>
    </w:p>
    <w:p w14:paraId="16265ACA" w14:textId="7C6F454C" w:rsidR="009B550A" w:rsidRDefault="009B550A" w:rsidP="00AF0095">
      <w:pPr>
        <w:pStyle w:val="ListBullet"/>
      </w:pPr>
      <w:r>
        <w:t>A survey of the airport site must be carried out prior to construction, to identify any further above-ground heritage items and potential archaeological deposits. If such places are found, they should be assessed and documented prior to construction, in accordance with established management principles for existing known heritage items.</w:t>
      </w:r>
    </w:p>
    <w:p w14:paraId="5F986578" w14:textId="6527EB65" w:rsidR="00D052DE" w:rsidRDefault="009B550A" w:rsidP="00AF0095">
      <w:pPr>
        <w:pStyle w:val="ListBullet"/>
      </w:pPr>
      <w:r>
        <w:t>A survey must be conducted early in the planning period for a Badgerys Creek airport of all non-Aboriginal regional heritage items within the Badgerys Creek region that might be affected by the operation of an airport. Where heritage items are found that will be affected by operational impacts, funding should be provided for the preparation of a conservation management plan for each site and to undertake measures identified in the plan to mitigate the impacts of airport operations.</w:t>
      </w:r>
    </w:p>
    <w:p w14:paraId="134BB07A" w14:textId="68112B80" w:rsidR="00887D4C" w:rsidRDefault="00887D4C" w:rsidP="00887D4C">
      <w:pPr>
        <w:pStyle w:val="Heading3"/>
      </w:pPr>
      <w:r>
        <w:t>Other investigations</w:t>
      </w:r>
    </w:p>
    <w:p w14:paraId="76D852A9" w14:textId="7696B081" w:rsidR="00887D4C" w:rsidRDefault="00664FF4" w:rsidP="005720AC">
      <w:pPr>
        <w:pStyle w:val="BodyText"/>
      </w:pPr>
      <w:r w:rsidRPr="00664FF4">
        <w:t xml:space="preserve">There have been no </w:t>
      </w:r>
      <w:r w:rsidR="00887D4C" w:rsidRPr="00664FF4">
        <w:t>other</w:t>
      </w:r>
      <w:r w:rsidR="00F2669E" w:rsidRPr="00664FF4">
        <w:t xml:space="preserve"> relevant</w:t>
      </w:r>
      <w:r w:rsidR="00887D4C" w:rsidRPr="00664FF4">
        <w:t xml:space="preserve"> investigation</w:t>
      </w:r>
      <w:r w:rsidR="008C4E19" w:rsidRPr="00664FF4">
        <w:t>s</w:t>
      </w:r>
      <w:r w:rsidR="00887D4C" w:rsidRPr="00664FF4">
        <w:t xml:space="preserve"> </w:t>
      </w:r>
      <w:r w:rsidRPr="00664FF4">
        <w:t xml:space="preserve">since </w:t>
      </w:r>
      <w:r w:rsidR="00887D4C" w:rsidRPr="00664FF4">
        <w:t>1999</w:t>
      </w:r>
      <w:r w:rsidRPr="00664FF4">
        <w:t>.</w:t>
      </w:r>
    </w:p>
    <w:p w14:paraId="2F450288" w14:textId="4471A762" w:rsidR="00510CF5" w:rsidRDefault="00510CF5" w:rsidP="00510CF5">
      <w:pPr>
        <w:pStyle w:val="Heading2"/>
      </w:pPr>
      <w:bookmarkStart w:id="42" w:name="_Toc400720079"/>
      <w:r>
        <w:t>Relevant legislation and guidelines</w:t>
      </w:r>
      <w:bookmarkEnd w:id="42"/>
    </w:p>
    <w:p w14:paraId="1861E7E9" w14:textId="77777777" w:rsidR="005720AC" w:rsidRDefault="005720AC" w:rsidP="005720AC">
      <w:pPr>
        <w:pStyle w:val="Heading3"/>
      </w:pPr>
      <w:r>
        <w:t>Commonwealth</w:t>
      </w:r>
    </w:p>
    <w:p w14:paraId="7F0A9F98" w14:textId="3974C0FA" w:rsidR="005720AC" w:rsidRDefault="001F463B" w:rsidP="005613AC">
      <w:pPr>
        <w:pStyle w:val="Subheading"/>
      </w:pPr>
      <w:r>
        <w:t>Environment Protection and Biodiversity Conservation Act 1999</w:t>
      </w:r>
    </w:p>
    <w:p w14:paraId="00D3ED9E" w14:textId="667CA689" w:rsidR="008072EE" w:rsidRDefault="008072EE" w:rsidP="008072EE">
      <w:pPr>
        <w:pStyle w:val="BodyText"/>
      </w:pPr>
      <w:r>
        <w:t xml:space="preserve">The EPBC Act provides a legal framework for the protection and management of places of national environmental significance. The heritage lists addressed by the EPBC Act include the United Nations Educational, Scientific and Cultural Organization (UNESCO) </w:t>
      </w:r>
      <w:r w:rsidR="0089647F">
        <w:t xml:space="preserve">the </w:t>
      </w:r>
      <w:r>
        <w:t>WHL, the NHL, and the Commonwealth Heritage List (CHL).</w:t>
      </w:r>
    </w:p>
    <w:p w14:paraId="2AB6261D" w14:textId="0EB2E3ED" w:rsidR="008072EE" w:rsidRDefault="008072EE" w:rsidP="008072EE">
      <w:pPr>
        <w:pStyle w:val="BodyText"/>
      </w:pPr>
      <w:r>
        <w:t>All World Heritage properties in Australia are protected and managed under the EPBC Act. The NHL also protects places that have outstanding value to the nation. The CHL protects items and places owned or managed by Commonwealth Government agencies.</w:t>
      </w:r>
    </w:p>
    <w:p w14:paraId="415FA147" w14:textId="1B638005" w:rsidR="001F463B" w:rsidRDefault="008072EE" w:rsidP="008072EE">
      <w:pPr>
        <w:pStyle w:val="BodyText"/>
      </w:pPr>
      <w:r>
        <w:t xml:space="preserve">The Australian Government Department of </w:t>
      </w:r>
      <w:r w:rsidR="005C6016">
        <w:t xml:space="preserve">the </w:t>
      </w:r>
      <w:r>
        <w:t>Environment is responsible for the implementation of national policy, programs and legislation to protect and conserve Australia’s environment and heritage. Approval from the Minister is required for controlled actions which would have a significant impact on items and places included on the WHL, NHL or CHL.</w:t>
      </w:r>
    </w:p>
    <w:p w14:paraId="50294D48" w14:textId="56FC8BE7" w:rsidR="003D120C" w:rsidRDefault="003D120C" w:rsidP="003D120C">
      <w:pPr>
        <w:pStyle w:val="BodyText"/>
      </w:pPr>
      <w:r>
        <w:t>Section 341ZA of the EPBC Act requires preparation of a heritage management strategy which identifies the heritage values and appropriate management of places to protect and conserve their Commonwealth Heritage values. The Commonwealth Heritage Management Principles as set out in Schedule 7B (Regulation 10.03D) of the EPBC Regulations, provide the guidelines for the appropriate management of Commonwealth heritage places. The following principle is relevant to the local heritage environment:</w:t>
      </w:r>
    </w:p>
    <w:p w14:paraId="5B86A1DD" w14:textId="77777777" w:rsidR="003D120C" w:rsidRPr="007B3177" w:rsidRDefault="003D120C" w:rsidP="003D120C">
      <w:pPr>
        <w:pStyle w:val="BodyText"/>
        <w:ind w:left="709" w:hanging="425"/>
        <w:rPr>
          <w:i/>
        </w:rPr>
      </w:pPr>
      <w:r w:rsidRPr="007B3177">
        <w:rPr>
          <w:i/>
        </w:rPr>
        <w:t>3.</w:t>
      </w:r>
      <w:r w:rsidRPr="007B3177">
        <w:rPr>
          <w:i/>
        </w:rPr>
        <w:tab/>
        <w:t>The management of Commonwealth Heritage places should respect all heritage values of the place and seek to integrate, where appropriate, any Commonwealth, State, Territory and local government responsibilities for those places.</w:t>
      </w:r>
    </w:p>
    <w:p w14:paraId="092D2B3D" w14:textId="318FF6FC" w:rsidR="007B3177" w:rsidRDefault="007B3177" w:rsidP="007B3177">
      <w:pPr>
        <w:pStyle w:val="BodyText"/>
      </w:pPr>
      <w:r>
        <w:t>Under Section 341ZB, Commonwealth agencies must take all reasonable steps to assist the Minister and the Australian Heritage Council in the identification, assessment and monitoring of the place's Commonwealth Heritage values. Assessment of heritage values is undertaken in accordance with the CHL criteria as set out in EPBC Regulation 2000 (No.1) Regulation 10.03A. The threshold for listing is that the place has significant heritage value against one or more of the criteria.</w:t>
      </w:r>
    </w:p>
    <w:p w14:paraId="1213AC4A" w14:textId="2472B90A" w:rsidR="00416A58" w:rsidRDefault="00416A58" w:rsidP="005613AC">
      <w:pPr>
        <w:pStyle w:val="Subheading"/>
      </w:pPr>
      <w:r>
        <w:t>National Trust</w:t>
      </w:r>
    </w:p>
    <w:p w14:paraId="0CBAEF79" w14:textId="26D16E15" w:rsidR="001F463B" w:rsidRDefault="008F4E95" w:rsidP="005720AC">
      <w:pPr>
        <w:pStyle w:val="BodyText"/>
      </w:pPr>
      <w:r w:rsidRPr="008F4E95">
        <w:t>The National Trust of Australia is a private, not-for-profit organisation committed to conserving Australia’s heritage. Listing with the National Trust of Australia does n</w:t>
      </w:r>
      <w:r>
        <w:t xml:space="preserve">ot have statutory </w:t>
      </w:r>
      <w:proofErr w:type="gramStart"/>
      <w:r>
        <w:t>authority,</w:t>
      </w:r>
      <w:proofErr w:type="gramEnd"/>
      <w:r>
        <w:t xml:space="preserve"> </w:t>
      </w:r>
      <w:r w:rsidRPr="008F4E95">
        <w:t>however, it does have a role in raising public awareness of heritage issues.</w:t>
      </w:r>
    </w:p>
    <w:p w14:paraId="38DE0FAF" w14:textId="29655F50" w:rsidR="003A2F9B" w:rsidRDefault="003A2F9B" w:rsidP="005613AC">
      <w:pPr>
        <w:pStyle w:val="Subheading"/>
      </w:pPr>
      <w:r>
        <w:t>Register of the National Estate</w:t>
      </w:r>
    </w:p>
    <w:p w14:paraId="3A0C7867" w14:textId="5320BDCE" w:rsidR="003A2F9B" w:rsidRDefault="003A2F9B" w:rsidP="005720AC">
      <w:pPr>
        <w:pStyle w:val="BodyText"/>
      </w:pPr>
      <w:r w:rsidRPr="003A2F9B">
        <w:t xml:space="preserve">The Register of the National Estate (RNE) was originally established under Section 22 of the </w:t>
      </w:r>
      <w:r w:rsidRPr="003A2F9B">
        <w:rPr>
          <w:i/>
        </w:rPr>
        <w:t>Australian Heritage Commission Act 1975</w:t>
      </w:r>
      <w:r w:rsidRPr="003A2F9B">
        <w:t xml:space="preserve"> (AHC Act). Since the EPBC Act came into force and the NHL and CHL were established</w:t>
      </w:r>
      <w:r w:rsidR="00F817AA">
        <w:t>,</w:t>
      </w:r>
      <w:r w:rsidRPr="003A2F9B">
        <w:t xml:space="preserve"> the RNE has been phased out. From February 2012 all references to the RNE have been removed from the EPBC Act. The RNE is now being maintained as a non-statutory archive of information about more than 13,000 places throughout Australia.</w:t>
      </w:r>
    </w:p>
    <w:p w14:paraId="7C7FC3C4" w14:textId="1D10ACB3" w:rsidR="007A4848" w:rsidRDefault="007A4848" w:rsidP="005613AC">
      <w:pPr>
        <w:pStyle w:val="Subheading"/>
      </w:pPr>
      <w:r w:rsidRPr="009E2C4D">
        <w:t>Guidelines</w:t>
      </w:r>
      <w:r w:rsidR="003D120C">
        <w:t xml:space="preserve"> and strategies</w:t>
      </w:r>
    </w:p>
    <w:p w14:paraId="38183E97" w14:textId="0723399D" w:rsidR="009E2C4D" w:rsidRDefault="003B020D" w:rsidP="009E2C4D">
      <w:pPr>
        <w:pStyle w:val="BodyText"/>
      </w:pPr>
      <w:r w:rsidRPr="003B020D">
        <w:t xml:space="preserve">Commonwealth guidelines and strategies related to </w:t>
      </w:r>
      <w:r>
        <w:t>historic heritage</w:t>
      </w:r>
      <w:r w:rsidRPr="003B020D">
        <w:t xml:space="preserve"> that are of likely or potential relevance to the study area are listed in the following table with comment provided on the nature of their relevance</w:t>
      </w:r>
      <w:r>
        <w:t>.</w:t>
      </w:r>
    </w:p>
    <w:p w14:paraId="49339CEC" w14:textId="25354BFA" w:rsidR="007D21D4" w:rsidRDefault="007D21D4" w:rsidP="007D21D4">
      <w:pPr>
        <w:pStyle w:val="Caption"/>
        <w:ind w:left="1134" w:hanging="1134"/>
      </w:pPr>
      <w:bookmarkStart w:id="43" w:name="_Toc402442839"/>
      <w:proofErr w:type="gramStart"/>
      <w:r>
        <w:t xml:space="preserve">Table </w:t>
      </w:r>
      <w:fldSimple w:instr=" STYLEREF 1 \s ">
        <w:r w:rsidR="004E469D">
          <w:rPr>
            <w:noProof/>
          </w:rPr>
          <w:t>3</w:t>
        </w:r>
      </w:fldSimple>
      <w:r w:rsidR="00EF76BA">
        <w:t>.</w:t>
      </w:r>
      <w:proofErr w:type="gramEnd"/>
      <w:r w:rsidR="001C525C">
        <w:fldChar w:fldCharType="begin"/>
      </w:r>
      <w:r w:rsidR="001C525C">
        <w:instrText xml:space="preserve"> SEQ Table \* ARABIC \s 1 </w:instrText>
      </w:r>
      <w:r w:rsidR="001C525C">
        <w:fldChar w:fldCharType="separate"/>
      </w:r>
      <w:r w:rsidR="004E469D">
        <w:rPr>
          <w:noProof/>
        </w:rPr>
        <w:t>1</w:t>
      </w:r>
      <w:r w:rsidR="001C525C">
        <w:rPr>
          <w:noProof/>
        </w:rPr>
        <w:fldChar w:fldCharType="end"/>
      </w:r>
      <w:r>
        <w:tab/>
        <w:t>Commonwealth guidelines and strategies related to historic heritage</w:t>
      </w:r>
      <w:bookmarkEnd w:id="43"/>
    </w:p>
    <w:tbl>
      <w:tblPr>
        <w:tblStyle w:val="TableGrid"/>
        <w:tblW w:w="9280" w:type="dxa"/>
        <w:tblBorders>
          <w:bottom w:val="single" w:sz="4" w:space="0" w:color="auto"/>
        </w:tblBorders>
        <w:tblLook w:val="04A0" w:firstRow="1" w:lastRow="0" w:firstColumn="1" w:lastColumn="0" w:noHBand="0" w:noVBand="1"/>
        <w:tblCaption w:val="Table 3.1 Commonwealth guidelines and strategies related to historic heritage"/>
        <w:tblDescription w:val="Table 3.1 Commonwealth guidelines and strategies related to historic heritage"/>
      </w:tblPr>
      <w:tblGrid>
        <w:gridCol w:w="3510"/>
        <w:gridCol w:w="1134"/>
        <w:gridCol w:w="4636"/>
      </w:tblGrid>
      <w:tr w:rsidR="00051D7B" w:rsidRPr="007A4848" w14:paraId="7E7F2593" w14:textId="77777777" w:rsidTr="005241F5">
        <w:trPr>
          <w:trHeight w:val="340"/>
          <w:tblHeader/>
        </w:trPr>
        <w:tc>
          <w:tcPr>
            <w:tcW w:w="3510" w:type="dxa"/>
          </w:tcPr>
          <w:p w14:paraId="652C8741" w14:textId="77777777" w:rsidR="00051D7B" w:rsidRPr="007A4848" w:rsidRDefault="00051D7B" w:rsidP="00342337">
            <w:pPr>
              <w:pStyle w:val="TableHeader"/>
            </w:pPr>
            <w:r w:rsidRPr="007A4848">
              <w:t>Guideline</w:t>
            </w:r>
            <w:r>
              <w:t>/Strategy</w:t>
            </w:r>
          </w:p>
        </w:tc>
        <w:tc>
          <w:tcPr>
            <w:tcW w:w="1134" w:type="dxa"/>
          </w:tcPr>
          <w:p w14:paraId="784DA6DF" w14:textId="77777777" w:rsidR="00051D7B" w:rsidRPr="007A4848" w:rsidRDefault="00051D7B" w:rsidP="00342337">
            <w:pPr>
              <w:pStyle w:val="TableHeader"/>
            </w:pPr>
            <w:r w:rsidRPr="007A4848">
              <w:t>Agency</w:t>
            </w:r>
          </w:p>
        </w:tc>
        <w:tc>
          <w:tcPr>
            <w:tcW w:w="4636" w:type="dxa"/>
          </w:tcPr>
          <w:p w14:paraId="5607A62E" w14:textId="77777777" w:rsidR="00051D7B" w:rsidRPr="007A4848" w:rsidRDefault="00051D7B" w:rsidP="00342337">
            <w:pPr>
              <w:pStyle w:val="TableHeader"/>
            </w:pPr>
            <w:r w:rsidRPr="007A4848">
              <w:t>Comment</w:t>
            </w:r>
          </w:p>
        </w:tc>
      </w:tr>
      <w:tr w:rsidR="00051D7B" w:rsidRPr="00F06DBB" w14:paraId="3A162600" w14:textId="77777777" w:rsidTr="0042326B">
        <w:trPr>
          <w:trHeight w:val="340"/>
        </w:trPr>
        <w:tc>
          <w:tcPr>
            <w:tcW w:w="3510" w:type="dxa"/>
          </w:tcPr>
          <w:p w14:paraId="6ED163B2" w14:textId="2230E20A" w:rsidR="00051D7B" w:rsidRPr="00F06DBB" w:rsidRDefault="00C76247" w:rsidP="00342337">
            <w:pPr>
              <w:pStyle w:val="TableBody"/>
            </w:pPr>
            <w:r w:rsidRPr="00C76247">
              <w:t>Burra Charter: The Australian ICOMOS charter for the conservation of places of cultural significance (2013)</w:t>
            </w:r>
          </w:p>
        </w:tc>
        <w:tc>
          <w:tcPr>
            <w:tcW w:w="1134" w:type="dxa"/>
          </w:tcPr>
          <w:p w14:paraId="71EAA80F" w14:textId="485C5BB8" w:rsidR="00051D7B" w:rsidRPr="00F06DBB" w:rsidRDefault="00C76247" w:rsidP="00342337">
            <w:pPr>
              <w:pStyle w:val="TableBody"/>
            </w:pPr>
            <w:r>
              <w:t>DoE</w:t>
            </w:r>
          </w:p>
        </w:tc>
        <w:tc>
          <w:tcPr>
            <w:tcW w:w="4636" w:type="dxa"/>
          </w:tcPr>
          <w:p w14:paraId="523E4627" w14:textId="506D4B85" w:rsidR="00051D7B" w:rsidRPr="00F06DBB" w:rsidRDefault="00C76247" w:rsidP="00342337">
            <w:pPr>
              <w:pStyle w:val="TableBody"/>
            </w:pPr>
            <w:r w:rsidRPr="00C76247">
              <w:t>The Burra Charter and the associated series of Practice Notes provide a best practice standard for managing cultural heritage places in Australia.</w:t>
            </w:r>
          </w:p>
        </w:tc>
      </w:tr>
      <w:tr w:rsidR="00051D7B" w:rsidRPr="00F06DBB" w14:paraId="36CB6BB9" w14:textId="77777777" w:rsidTr="0042326B">
        <w:trPr>
          <w:trHeight w:val="340"/>
        </w:trPr>
        <w:tc>
          <w:tcPr>
            <w:tcW w:w="3510" w:type="dxa"/>
          </w:tcPr>
          <w:p w14:paraId="7EBCB40D" w14:textId="00C6C3EE" w:rsidR="00051D7B" w:rsidRDefault="00C76247" w:rsidP="00342337">
            <w:pPr>
              <w:pStyle w:val="TableBody"/>
            </w:pPr>
            <w:r w:rsidRPr="00C76247">
              <w:t>EPBC Act Policy Statement 1.1 – Significant Impact Guidelines – Matters of National Environmental Significance (2013)</w:t>
            </w:r>
          </w:p>
        </w:tc>
        <w:tc>
          <w:tcPr>
            <w:tcW w:w="1134" w:type="dxa"/>
          </w:tcPr>
          <w:p w14:paraId="28543FB3" w14:textId="64572F77" w:rsidR="00051D7B" w:rsidRPr="00F06DBB" w:rsidRDefault="00C76247" w:rsidP="00342337">
            <w:pPr>
              <w:pStyle w:val="TableBody"/>
            </w:pPr>
            <w:r>
              <w:t>DoE</w:t>
            </w:r>
          </w:p>
        </w:tc>
        <w:tc>
          <w:tcPr>
            <w:tcW w:w="4636" w:type="dxa"/>
          </w:tcPr>
          <w:p w14:paraId="431C7BF0" w14:textId="655EDDB5" w:rsidR="00051D7B" w:rsidRPr="00F06DBB" w:rsidRDefault="00C76247" w:rsidP="00342337">
            <w:pPr>
              <w:pStyle w:val="TableBody"/>
            </w:pPr>
            <w:r w:rsidRPr="00C76247">
              <w:t>Provides overarching guidance on determining whether an action is likely to have a significant impact on a matter protected under national environment law — the EPBC Act.</w:t>
            </w:r>
          </w:p>
        </w:tc>
      </w:tr>
      <w:tr w:rsidR="00051D7B" w:rsidRPr="00F06DBB" w14:paraId="6516A86A" w14:textId="77777777" w:rsidTr="0042326B">
        <w:trPr>
          <w:trHeight w:val="340"/>
        </w:trPr>
        <w:tc>
          <w:tcPr>
            <w:tcW w:w="3510" w:type="dxa"/>
          </w:tcPr>
          <w:p w14:paraId="34F06143" w14:textId="4E2E4C5A" w:rsidR="00051D7B" w:rsidRDefault="00C76247" w:rsidP="00C76247">
            <w:pPr>
              <w:pStyle w:val="TableBody"/>
            </w:pPr>
            <w:r w:rsidRPr="00C76247">
              <w:t>EPBC Act Policy Statement 1.2 – Significant Impact Guidelines – Actions on, or impacting upon, Commonwealth land, and actions by Commonwealth agencies (2006)</w:t>
            </w:r>
          </w:p>
        </w:tc>
        <w:tc>
          <w:tcPr>
            <w:tcW w:w="1134" w:type="dxa"/>
          </w:tcPr>
          <w:p w14:paraId="04D02501" w14:textId="6133E5DF" w:rsidR="00051D7B" w:rsidRPr="00F06DBB" w:rsidRDefault="00C76247" w:rsidP="00342337">
            <w:pPr>
              <w:pStyle w:val="TableBody"/>
            </w:pPr>
            <w:r>
              <w:t>DoE</w:t>
            </w:r>
          </w:p>
        </w:tc>
        <w:tc>
          <w:tcPr>
            <w:tcW w:w="4636" w:type="dxa"/>
          </w:tcPr>
          <w:p w14:paraId="01C6E2DC" w14:textId="77777777" w:rsidR="00C76247" w:rsidRDefault="00C76247" w:rsidP="00C76247">
            <w:pPr>
              <w:pStyle w:val="TableBody"/>
            </w:pPr>
            <w:r>
              <w:t>Applies to:</w:t>
            </w:r>
          </w:p>
          <w:p w14:paraId="45F9C639" w14:textId="2EECED19" w:rsidR="00C76247" w:rsidRDefault="00C76247" w:rsidP="00C76247">
            <w:pPr>
              <w:pStyle w:val="Bullets-TechSpecs"/>
            </w:pPr>
            <w:r>
              <w:t>any person who proposes to take an action which is either situated on Commonwealth land or which may impact on Commonwealth land, and/or</w:t>
            </w:r>
          </w:p>
          <w:p w14:paraId="40284CCA" w14:textId="6800C1B0" w:rsidR="00051D7B" w:rsidRPr="00F06DBB" w:rsidRDefault="00C76247" w:rsidP="00C76247">
            <w:pPr>
              <w:pStyle w:val="Bullets-TechSpecs"/>
            </w:pPr>
            <w:proofErr w:type="gramStart"/>
            <w:r>
              <w:t>representatives</w:t>
            </w:r>
            <w:proofErr w:type="gramEnd"/>
            <w:r>
              <w:t xml:space="preserve"> of Commonwealth agencies who propose to take an action that may impact on the environment anywhere in the world.</w:t>
            </w:r>
          </w:p>
        </w:tc>
      </w:tr>
      <w:tr w:rsidR="003D120C" w:rsidRPr="00F06DBB" w14:paraId="4CC0C537" w14:textId="77777777" w:rsidTr="0042326B">
        <w:trPr>
          <w:trHeight w:val="340"/>
        </w:trPr>
        <w:tc>
          <w:tcPr>
            <w:tcW w:w="3510" w:type="dxa"/>
          </w:tcPr>
          <w:p w14:paraId="0089DDF3" w14:textId="1A5AA5D3" w:rsidR="003D120C" w:rsidRPr="00C76247" w:rsidRDefault="003D120C" w:rsidP="00C76247">
            <w:pPr>
              <w:pStyle w:val="TableBody"/>
            </w:pPr>
            <w:r>
              <w:t>Heritage Strategy</w:t>
            </w:r>
          </w:p>
        </w:tc>
        <w:tc>
          <w:tcPr>
            <w:tcW w:w="1134" w:type="dxa"/>
          </w:tcPr>
          <w:p w14:paraId="44146268" w14:textId="4FFE3895" w:rsidR="003D120C" w:rsidRDefault="003D120C" w:rsidP="003D120C">
            <w:pPr>
              <w:pStyle w:val="TableBody"/>
            </w:pPr>
            <w:r>
              <w:t>DI&amp;RD</w:t>
            </w:r>
          </w:p>
        </w:tc>
        <w:tc>
          <w:tcPr>
            <w:tcW w:w="4636" w:type="dxa"/>
          </w:tcPr>
          <w:p w14:paraId="5D101349" w14:textId="6F227BCD" w:rsidR="003D120C" w:rsidRDefault="003D120C" w:rsidP="00AA4B81">
            <w:pPr>
              <w:pStyle w:val="TableBody"/>
            </w:pPr>
            <w:r>
              <w:t xml:space="preserve">Prepared under Section 341ZA of the EPBC Act to </w:t>
            </w:r>
            <w:r w:rsidR="00AA4B81">
              <w:t>guide</w:t>
            </w:r>
            <w:r>
              <w:t xml:space="preserve"> management of heritage values of the Department’s assets. At the time of preparation of this report, the Strategy was under review by the Department.</w:t>
            </w:r>
          </w:p>
        </w:tc>
      </w:tr>
    </w:tbl>
    <w:p w14:paraId="24B59547" w14:textId="77777777" w:rsidR="00051D7B" w:rsidRDefault="00051D7B" w:rsidP="005720AC">
      <w:pPr>
        <w:pStyle w:val="BodyText"/>
      </w:pPr>
    </w:p>
    <w:p w14:paraId="70F68F56" w14:textId="77777777" w:rsidR="005720AC" w:rsidRDefault="005720AC" w:rsidP="005720AC">
      <w:pPr>
        <w:pStyle w:val="Heading3"/>
      </w:pPr>
      <w:r>
        <w:t>New South Wales</w:t>
      </w:r>
    </w:p>
    <w:p w14:paraId="3DE5D76B" w14:textId="176F04D1" w:rsidR="005720AC" w:rsidRDefault="00416A58" w:rsidP="005613AC">
      <w:pPr>
        <w:pStyle w:val="Subheading"/>
      </w:pPr>
      <w:r>
        <w:t>Heritage Act 1977</w:t>
      </w:r>
    </w:p>
    <w:p w14:paraId="3CD5C6A7" w14:textId="2D4801A6" w:rsidR="009217F7" w:rsidRPr="009217F7" w:rsidRDefault="009217F7" w:rsidP="009217F7">
      <w:pPr>
        <w:rPr>
          <w:sz w:val="22"/>
        </w:rPr>
      </w:pPr>
      <w:r w:rsidRPr="009217F7">
        <w:rPr>
          <w:sz w:val="22"/>
        </w:rPr>
        <w:t xml:space="preserve">The </w:t>
      </w:r>
      <w:r w:rsidRPr="009217F7">
        <w:rPr>
          <w:i/>
          <w:sz w:val="22"/>
        </w:rPr>
        <w:t>Heritage Act 1977</w:t>
      </w:r>
      <w:r w:rsidRPr="009217F7">
        <w:rPr>
          <w:sz w:val="22"/>
        </w:rPr>
        <w:t xml:space="preserve"> provides protection for heritage places, buildings, works, relics, moveable objects, precincts and archaeological sites that are important to the people of NSW. These include items of </w:t>
      </w:r>
      <w:r>
        <w:rPr>
          <w:sz w:val="22"/>
        </w:rPr>
        <w:t>historic</w:t>
      </w:r>
      <w:r w:rsidRPr="009217F7">
        <w:rPr>
          <w:sz w:val="22"/>
        </w:rPr>
        <w:t xml:space="preserve"> </w:t>
      </w:r>
      <w:r w:rsidR="00976C82">
        <w:rPr>
          <w:sz w:val="22"/>
        </w:rPr>
        <w:t>(non-</w:t>
      </w:r>
      <w:r w:rsidR="008B6C60">
        <w:rPr>
          <w:sz w:val="22"/>
        </w:rPr>
        <w:t xml:space="preserve">Aboriginal) </w:t>
      </w:r>
      <w:r w:rsidR="00976C82">
        <w:rPr>
          <w:sz w:val="22"/>
        </w:rPr>
        <w:t xml:space="preserve">and Aboriginal </w:t>
      </w:r>
      <w:r w:rsidRPr="009217F7">
        <w:rPr>
          <w:sz w:val="22"/>
        </w:rPr>
        <w:t>heritage significance. Where these items have particular importance to the people of NSW, they are listed on the State Heritage Register (SHR).</w:t>
      </w:r>
    </w:p>
    <w:p w14:paraId="636823A8" w14:textId="6F216564" w:rsidR="009217F7" w:rsidRDefault="009217F7" w:rsidP="009217F7">
      <w:pPr>
        <w:pStyle w:val="BodyText"/>
      </w:pPr>
      <w:r>
        <w:t xml:space="preserve">Sections 57 to 69 of the Act address the statutory requirements for items and places listed on the SHR, or which are the subject of an Interim Heritage Order (IHO). Works which include demolition, damage or alteration of a heritage item, place or archaeological site require the approval of the Heritage Council or its delegates.  </w:t>
      </w:r>
    </w:p>
    <w:p w14:paraId="75C5F6B0" w14:textId="77777777" w:rsidR="0044258C" w:rsidRDefault="009217F7" w:rsidP="009217F7">
      <w:pPr>
        <w:pStyle w:val="BodyText"/>
      </w:pPr>
      <w:r>
        <w:t>Sections 139 to 146 of the Act refer to the requirement that excavation or disturbance of land that is likely to contain, or is believed may contain, archaeological relics is undertaken in accordance with an excavation permit issued by the Heritage Council (or in accordance with a gazetted exception under Section 139(4) of the Act). An archaeological relic is defined as meaning</w:t>
      </w:r>
    </w:p>
    <w:p w14:paraId="291DDE71" w14:textId="4695AE08" w:rsidR="009217F7" w:rsidRPr="0044258C" w:rsidRDefault="009217F7" w:rsidP="0044258C">
      <w:pPr>
        <w:pStyle w:val="BodyText"/>
        <w:ind w:left="426"/>
        <w:rPr>
          <w:i/>
        </w:rPr>
      </w:pPr>
      <w:proofErr w:type="gramStart"/>
      <w:r w:rsidRPr="0044258C">
        <w:rPr>
          <w:i/>
        </w:rPr>
        <w:t>any</w:t>
      </w:r>
      <w:proofErr w:type="gramEnd"/>
      <w:r w:rsidRPr="0044258C">
        <w:rPr>
          <w:i/>
        </w:rPr>
        <w:t xml:space="preserve"> deposit, artefact, object or material evidence that: </w:t>
      </w:r>
    </w:p>
    <w:p w14:paraId="79EB6DD6" w14:textId="5FD8EB57" w:rsidR="009217F7" w:rsidRPr="0044258C" w:rsidRDefault="0044258C" w:rsidP="0044258C">
      <w:pPr>
        <w:pStyle w:val="BodyText"/>
        <w:numPr>
          <w:ilvl w:val="0"/>
          <w:numId w:val="12"/>
        </w:numPr>
        <w:rPr>
          <w:i/>
        </w:rPr>
      </w:pPr>
      <w:r>
        <w:rPr>
          <w:i/>
        </w:rPr>
        <w:t>r</w:t>
      </w:r>
      <w:r w:rsidR="009217F7" w:rsidRPr="0044258C">
        <w:rPr>
          <w:i/>
        </w:rPr>
        <w:t>elates to the settlement of the area that comprises NSW, not being Aboriginal settlement</w:t>
      </w:r>
      <w:r>
        <w:rPr>
          <w:i/>
        </w:rPr>
        <w:t>; and</w:t>
      </w:r>
    </w:p>
    <w:p w14:paraId="57E1B44F" w14:textId="4F6800D4" w:rsidR="009217F7" w:rsidRPr="0044258C" w:rsidRDefault="0044258C" w:rsidP="0044258C">
      <w:pPr>
        <w:pStyle w:val="BodyText"/>
        <w:numPr>
          <w:ilvl w:val="0"/>
          <w:numId w:val="12"/>
        </w:numPr>
        <w:rPr>
          <w:i/>
        </w:rPr>
      </w:pPr>
      <w:proofErr w:type="gramStart"/>
      <w:r>
        <w:rPr>
          <w:i/>
        </w:rPr>
        <w:t>i</w:t>
      </w:r>
      <w:r w:rsidR="009217F7" w:rsidRPr="0044258C">
        <w:rPr>
          <w:i/>
        </w:rPr>
        <w:t>s</w:t>
      </w:r>
      <w:proofErr w:type="gramEnd"/>
      <w:r w:rsidR="009217F7" w:rsidRPr="0044258C">
        <w:rPr>
          <w:i/>
        </w:rPr>
        <w:t xml:space="preserve"> of State or local heritage significance.</w:t>
      </w:r>
    </w:p>
    <w:p w14:paraId="0E282338" w14:textId="298085BD" w:rsidR="009217F7" w:rsidRDefault="009217F7" w:rsidP="009217F7">
      <w:pPr>
        <w:pStyle w:val="BodyText"/>
      </w:pPr>
      <w:r>
        <w:t xml:space="preserve">Section 170 of the Act requires government departments and agencies to maintain a Heritage and Conservation Register, commonly known as a ‘Section 170 Register’. Clause 21 of </w:t>
      </w:r>
      <w:r w:rsidR="00A61570">
        <w:t xml:space="preserve">the </w:t>
      </w:r>
      <w:r w:rsidRPr="00A61570">
        <w:rPr>
          <w:i/>
        </w:rPr>
        <w:t>Heritage Regulation 2012</w:t>
      </w:r>
      <w:r>
        <w:t xml:space="preserve"> describes the assets that must be included on a Section 170 Register.</w:t>
      </w:r>
    </w:p>
    <w:p w14:paraId="1918944E" w14:textId="42770AC1" w:rsidR="00416A58" w:rsidRDefault="00416A58" w:rsidP="005613AC">
      <w:pPr>
        <w:pStyle w:val="Subheading"/>
      </w:pPr>
      <w:r>
        <w:t>Environmental Planning and Assessment Act 1979</w:t>
      </w:r>
    </w:p>
    <w:p w14:paraId="6A692A10" w14:textId="0D44D953" w:rsidR="003B020D" w:rsidRDefault="003B020D" w:rsidP="005720AC">
      <w:pPr>
        <w:pStyle w:val="BodyText"/>
      </w:pPr>
      <w:r w:rsidRPr="003B020D">
        <w:t>Part 3 of the EP&amp;A Act provides for the making of specific EPIs to regulate land use and development.</w:t>
      </w:r>
      <w:r>
        <w:t xml:space="preserve"> T</w:t>
      </w:r>
      <w:r w:rsidRPr="00D4750A">
        <w:t>he study area is wholly within the boundaries of the Liverpool LGA</w:t>
      </w:r>
      <w:r>
        <w:t xml:space="preserve"> and adjacent to the</w:t>
      </w:r>
      <w:r w:rsidRPr="00D4750A">
        <w:t xml:space="preserve"> Penrith LGA</w:t>
      </w:r>
      <w:r>
        <w:t xml:space="preserve"> (located immediately to the north of Elizabeth Drive)</w:t>
      </w:r>
      <w:r w:rsidRPr="00D4750A">
        <w:t>.</w:t>
      </w:r>
      <w:r>
        <w:t xml:space="preserve"> </w:t>
      </w:r>
      <w:r>
        <w:fldChar w:fldCharType="begin"/>
      </w:r>
      <w:r>
        <w:instrText xml:space="preserve"> REF _Ref400694025 \h </w:instrText>
      </w:r>
      <w:r>
        <w:fldChar w:fldCharType="separate"/>
      </w:r>
      <w:r w:rsidR="004E469D">
        <w:t xml:space="preserve">Table </w:t>
      </w:r>
      <w:r w:rsidR="004E469D">
        <w:rPr>
          <w:noProof/>
        </w:rPr>
        <w:t>3</w:t>
      </w:r>
      <w:r w:rsidR="004E469D">
        <w:t>.</w:t>
      </w:r>
      <w:r w:rsidR="004E469D">
        <w:rPr>
          <w:noProof/>
        </w:rPr>
        <w:t>2</w:t>
      </w:r>
      <w:r>
        <w:fldChar w:fldCharType="end"/>
      </w:r>
      <w:r w:rsidRPr="003B020D">
        <w:t xml:space="preserve"> </w:t>
      </w:r>
      <w:r>
        <w:t>provides comment on the provisions in these two LEPs that relate to historic heritage.</w:t>
      </w:r>
    </w:p>
    <w:p w14:paraId="76047F46" w14:textId="0CAD1B68" w:rsidR="007D21D4" w:rsidRDefault="007D21D4" w:rsidP="007D21D4">
      <w:pPr>
        <w:pStyle w:val="Caption"/>
        <w:keepNext/>
        <w:ind w:left="1134" w:hanging="1134"/>
      </w:pPr>
      <w:bookmarkStart w:id="44" w:name="_Ref400694025"/>
      <w:bookmarkStart w:id="45" w:name="_Toc402442840"/>
      <w:proofErr w:type="gramStart"/>
      <w:r>
        <w:t xml:space="preserve">Table </w:t>
      </w:r>
      <w:fldSimple w:instr=" STYLEREF 1 \s ">
        <w:r w:rsidR="004E469D">
          <w:rPr>
            <w:noProof/>
          </w:rPr>
          <w:t>3</w:t>
        </w:r>
      </w:fldSimple>
      <w:r w:rsidR="00EF76BA">
        <w:t>.</w:t>
      </w:r>
      <w:proofErr w:type="gramEnd"/>
      <w:r w:rsidR="001C525C">
        <w:fldChar w:fldCharType="begin"/>
      </w:r>
      <w:r w:rsidR="001C525C">
        <w:instrText xml:space="preserve"> SEQ Table \* ARABIC \s 1 </w:instrText>
      </w:r>
      <w:r w:rsidR="001C525C">
        <w:fldChar w:fldCharType="separate"/>
      </w:r>
      <w:r w:rsidR="004E469D">
        <w:rPr>
          <w:noProof/>
        </w:rPr>
        <w:t>2</w:t>
      </w:r>
      <w:r w:rsidR="001C525C">
        <w:rPr>
          <w:noProof/>
        </w:rPr>
        <w:fldChar w:fldCharType="end"/>
      </w:r>
      <w:bookmarkEnd w:id="44"/>
      <w:r>
        <w:tab/>
      </w:r>
      <w:r w:rsidRPr="00986B5F">
        <w:t xml:space="preserve">EPIs made under the EP&amp;A Act related to </w:t>
      </w:r>
      <w:r>
        <w:t>historic heritage</w:t>
      </w:r>
      <w:bookmarkEnd w:id="45"/>
    </w:p>
    <w:tbl>
      <w:tblPr>
        <w:tblStyle w:val="TableGrid"/>
        <w:tblW w:w="9072" w:type="dxa"/>
        <w:tblBorders>
          <w:bottom w:val="single" w:sz="4" w:space="0" w:color="auto"/>
        </w:tblBorders>
        <w:tblLook w:val="04A0" w:firstRow="1" w:lastRow="0" w:firstColumn="1" w:lastColumn="0" w:noHBand="0" w:noVBand="1"/>
        <w:tblCaption w:val="Table 3.2 EPIs made under the EP&amp;A Act related to historic heritage"/>
        <w:tblDescription w:val="Table 3.2 EPIs made under the EP&amp;A Act related to historic heritage"/>
      </w:tblPr>
      <w:tblGrid>
        <w:gridCol w:w="2518"/>
        <w:gridCol w:w="6554"/>
      </w:tblGrid>
      <w:tr w:rsidR="00373D83" w:rsidRPr="00806F5D" w14:paraId="2895DB75" w14:textId="77777777" w:rsidTr="005241F5">
        <w:trPr>
          <w:trHeight w:val="340"/>
          <w:tblHeader/>
        </w:trPr>
        <w:tc>
          <w:tcPr>
            <w:tcW w:w="2518" w:type="dxa"/>
          </w:tcPr>
          <w:p w14:paraId="32C6A14B" w14:textId="77777777" w:rsidR="00373D83" w:rsidRPr="0042326B" w:rsidRDefault="00373D83" w:rsidP="0042326B">
            <w:pPr>
              <w:pStyle w:val="TableHeader"/>
            </w:pPr>
            <w:r w:rsidRPr="0042326B">
              <w:t>EPI</w:t>
            </w:r>
          </w:p>
        </w:tc>
        <w:tc>
          <w:tcPr>
            <w:tcW w:w="6554" w:type="dxa"/>
          </w:tcPr>
          <w:p w14:paraId="092697AF" w14:textId="77777777" w:rsidR="00373D83" w:rsidRPr="0042326B" w:rsidRDefault="00373D83" w:rsidP="0042326B">
            <w:pPr>
              <w:pStyle w:val="TableHeader"/>
            </w:pPr>
            <w:r w:rsidRPr="0042326B">
              <w:t>Comment</w:t>
            </w:r>
          </w:p>
        </w:tc>
      </w:tr>
      <w:tr w:rsidR="00373D83" w:rsidRPr="00F06DBB" w14:paraId="7A50705E" w14:textId="77777777" w:rsidTr="0042326B">
        <w:trPr>
          <w:trHeight w:val="340"/>
        </w:trPr>
        <w:tc>
          <w:tcPr>
            <w:tcW w:w="2518" w:type="dxa"/>
          </w:tcPr>
          <w:p w14:paraId="1810EAE7" w14:textId="7ABB6421" w:rsidR="00373D83" w:rsidRPr="00F06DBB" w:rsidRDefault="0042326B" w:rsidP="00633DB8">
            <w:pPr>
              <w:pStyle w:val="TableBody"/>
            </w:pPr>
            <w:r w:rsidRPr="0042326B">
              <w:t>Liverpool LEP 2008</w:t>
            </w:r>
          </w:p>
        </w:tc>
        <w:tc>
          <w:tcPr>
            <w:tcW w:w="6554" w:type="dxa"/>
          </w:tcPr>
          <w:p w14:paraId="5C1059C3" w14:textId="63589823" w:rsidR="00373D83" w:rsidRPr="00F06DBB" w:rsidRDefault="0042326B" w:rsidP="00633DB8">
            <w:pPr>
              <w:pStyle w:val="TableBody"/>
            </w:pPr>
            <w:r w:rsidRPr="0042326B">
              <w:t>Clause 5.10 of the Liverpool LEP provides for the protection of items, places and archaeological sites which have been identified as having local heritage significance. There are 12 heritage items and heritage conservation areas identified within or in the vicinity of the study area.</w:t>
            </w:r>
          </w:p>
        </w:tc>
      </w:tr>
      <w:tr w:rsidR="00373D83" w:rsidRPr="00F06DBB" w14:paraId="25BD8999" w14:textId="77777777" w:rsidTr="0042326B">
        <w:trPr>
          <w:trHeight w:val="340"/>
        </w:trPr>
        <w:tc>
          <w:tcPr>
            <w:tcW w:w="2518" w:type="dxa"/>
          </w:tcPr>
          <w:p w14:paraId="7AF3C0E1" w14:textId="0D6B8850" w:rsidR="00373D83" w:rsidRDefault="0042326B" w:rsidP="00633DB8">
            <w:pPr>
              <w:pStyle w:val="TableBody"/>
            </w:pPr>
            <w:r w:rsidRPr="0042326B">
              <w:t>Penrith LEP 2010</w:t>
            </w:r>
          </w:p>
        </w:tc>
        <w:tc>
          <w:tcPr>
            <w:tcW w:w="6554" w:type="dxa"/>
          </w:tcPr>
          <w:p w14:paraId="743B65CE" w14:textId="0D3E83AF" w:rsidR="00373D83" w:rsidRPr="00F06DBB" w:rsidRDefault="0042326B" w:rsidP="0042326B">
            <w:pPr>
              <w:pStyle w:val="TableBody"/>
            </w:pPr>
            <w:r w:rsidRPr="0042326B">
              <w:t xml:space="preserve">Clause 5.10 of the Penrith LEP provides for the protection of items, places and archaeological sites which have been identified as having local heritage significance. There are </w:t>
            </w:r>
            <w:r>
              <w:t>eight</w:t>
            </w:r>
            <w:r w:rsidRPr="0042326B">
              <w:t xml:space="preserve"> heritage items and heritage conservation areas identified within or in the vicinity of the study area.</w:t>
            </w:r>
          </w:p>
        </w:tc>
      </w:tr>
    </w:tbl>
    <w:p w14:paraId="62D33F6F" w14:textId="77777777" w:rsidR="00373D83" w:rsidRDefault="00373D83" w:rsidP="00373D83">
      <w:pPr>
        <w:pStyle w:val="BodyText"/>
      </w:pPr>
    </w:p>
    <w:p w14:paraId="3147CBD7" w14:textId="2923ED9E" w:rsidR="00051D7B" w:rsidRDefault="00051D7B" w:rsidP="005613AC">
      <w:pPr>
        <w:pStyle w:val="Subheading"/>
      </w:pPr>
      <w:r>
        <w:t>Guidelines</w:t>
      </w:r>
    </w:p>
    <w:p w14:paraId="2A63CF13" w14:textId="467A77F9" w:rsidR="00051D7B" w:rsidRDefault="003B020D" w:rsidP="00373D83">
      <w:pPr>
        <w:pStyle w:val="BodyText"/>
      </w:pPr>
      <w:r>
        <w:t>NSW</w:t>
      </w:r>
      <w:r w:rsidRPr="003B020D">
        <w:t xml:space="preserve"> guidelines and strategies related to </w:t>
      </w:r>
      <w:r>
        <w:t>historic heritage</w:t>
      </w:r>
      <w:r w:rsidRPr="003B020D">
        <w:t xml:space="preserve"> that are of likely or potential relevance to the study area are listed in the following table with comment provided on the nature of their relevance</w:t>
      </w:r>
      <w:r>
        <w:t>.</w:t>
      </w:r>
    </w:p>
    <w:p w14:paraId="6E4C06CA" w14:textId="457FDAD6" w:rsidR="007D21D4" w:rsidRDefault="007D21D4" w:rsidP="007D21D4">
      <w:pPr>
        <w:pStyle w:val="Caption"/>
        <w:keepNext/>
        <w:ind w:left="1134" w:hanging="1134"/>
      </w:pPr>
      <w:bookmarkStart w:id="46" w:name="_Toc402442841"/>
      <w:proofErr w:type="gramStart"/>
      <w:r>
        <w:t xml:space="preserve">Table </w:t>
      </w:r>
      <w:fldSimple w:instr=" STYLEREF 1 \s ">
        <w:r w:rsidR="004E469D">
          <w:rPr>
            <w:noProof/>
          </w:rPr>
          <w:t>3</w:t>
        </w:r>
      </w:fldSimple>
      <w:r w:rsidR="00EF76BA">
        <w:t>.</w:t>
      </w:r>
      <w:proofErr w:type="gramEnd"/>
      <w:r w:rsidR="001C525C">
        <w:fldChar w:fldCharType="begin"/>
      </w:r>
      <w:r w:rsidR="001C525C">
        <w:instrText xml:space="preserve"> SEQ Table \* ARABIC \s 1 </w:instrText>
      </w:r>
      <w:r w:rsidR="001C525C">
        <w:fldChar w:fldCharType="separate"/>
      </w:r>
      <w:r w:rsidR="004E469D">
        <w:rPr>
          <w:noProof/>
        </w:rPr>
        <w:t>3</w:t>
      </w:r>
      <w:r w:rsidR="001C525C">
        <w:rPr>
          <w:noProof/>
        </w:rPr>
        <w:fldChar w:fldCharType="end"/>
      </w:r>
      <w:r>
        <w:tab/>
        <w:t>NSW guidelines and strategies related to historic heritage</w:t>
      </w:r>
      <w:bookmarkEnd w:id="46"/>
    </w:p>
    <w:tbl>
      <w:tblPr>
        <w:tblStyle w:val="TableGrid"/>
        <w:tblW w:w="9280" w:type="dxa"/>
        <w:tblBorders>
          <w:bottom w:val="single" w:sz="4" w:space="0" w:color="auto"/>
        </w:tblBorders>
        <w:tblLook w:val="04A0" w:firstRow="1" w:lastRow="0" w:firstColumn="1" w:lastColumn="0" w:noHBand="0" w:noVBand="1"/>
        <w:tblCaption w:val="Table 3.3 NSW guidelines and strategies related to historic heritage"/>
        <w:tblDescription w:val="Table 3.3 NSW guidelines and strategies related to historic heritage"/>
      </w:tblPr>
      <w:tblGrid>
        <w:gridCol w:w="2235"/>
        <w:gridCol w:w="1275"/>
        <w:gridCol w:w="5770"/>
      </w:tblGrid>
      <w:tr w:rsidR="00051D7B" w:rsidRPr="007A4848" w14:paraId="4A0A4C04" w14:textId="77777777" w:rsidTr="005241F5">
        <w:trPr>
          <w:trHeight w:val="340"/>
          <w:tblHeader/>
        </w:trPr>
        <w:tc>
          <w:tcPr>
            <w:tcW w:w="2235" w:type="dxa"/>
          </w:tcPr>
          <w:p w14:paraId="625F8B41" w14:textId="77777777" w:rsidR="00051D7B" w:rsidRPr="007A4848" w:rsidRDefault="00051D7B" w:rsidP="00342337">
            <w:pPr>
              <w:pStyle w:val="TableHeader"/>
            </w:pPr>
            <w:r w:rsidRPr="007A4848">
              <w:t>Guideline</w:t>
            </w:r>
            <w:r>
              <w:t>/Strategy</w:t>
            </w:r>
          </w:p>
        </w:tc>
        <w:tc>
          <w:tcPr>
            <w:tcW w:w="1275" w:type="dxa"/>
          </w:tcPr>
          <w:p w14:paraId="066E3A0C" w14:textId="77777777" w:rsidR="00051D7B" w:rsidRPr="007A4848" w:rsidRDefault="00051D7B" w:rsidP="00342337">
            <w:pPr>
              <w:pStyle w:val="TableHeader"/>
            </w:pPr>
            <w:r w:rsidRPr="007A4848">
              <w:t>Agency</w:t>
            </w:r>
          </w:p>
        </w:tc>
        <w:tc>
          <w:tcPr>
            <w:tcW w:w="5770" w:type="dxa"/>
          </w:tcPr>
          <w:p w14:paraId="4DB59462" w14:textId="77777777" w:rsidR="00051D7B" w:rsidRPr="007A4848" w:rsidRDefault="00051D7B" w:rsidP="00342337">
            <w:pPr>
              <w:pStyle w:val="TableHeader"/>
            </w:pPr>
            <w:r w:rsidRPr="007A4848">
              <w:t>Comment</w:t>
            </w:r>
          </w:p>
        </w:tc>
      </w:tr>
      <w:tr w:rsidR="00051D7B" w:rsidRPr="00F06DBB" w14:paraId="389602F1" w14:textId="77777777" w:rsidTr="007D21D4">
        <w:trPr>
          <w:trHeight w:val="340"/>
        </w:trPr>
        <w:tc>
          <w:tcPr>
            <w:tcW w:w="2235" w:type="dxa"/>
          </w:tcPr>
          <w:p w14:paraId="08131C2F" w14:textId="17A41C5D" w:rsidR="00051D7B" w:rsidRPr="00F06DBB" w:rsidRDefault="00C24E0D" w:rsidP="00342337">
            <w:pPr>
              <w:pStyle w:val="TableBody"/>
            </w:pPr>
            <w:r w:rsidRPr="00C24E0D">
              <w:t>NSW Heritage Manual (1996)</w:t>
            </w:r>
          </w:p>
        </w:tc>
        <w:tc>
          <w:tcPr>
            <w:tcW w:w="1275" w:type="dxa"/>
          </w:tcPr>
          <w:p w14:paraId="602CEBAC" w14:textId="0DE0C719" w:rsidR="00051D7B" w:rsidRPr="00F06DBB" w:rsidRDefault="00C24E0D" w:rsidP="00342337">
            <w:pPr>
              <w:pStyle w:val="TableBody"/>
            </w:pPr>
            <w:r>
              <w:t>OEH</w:t>
            </w:r>
          </w:p>
        </w:tc>
        <w:tc>
          <w:tcPr>
            <w:tcW w:w="5770" w:type="dxa"/>
          </w:tcPr>
          <w:p w14:paraId="365A12F5" w14:textId="505F168A" w:rsidR="00051D7B" w:rsidRPr="00F06DBB" w:rsidRDefault="00C24E0D" w:rsidP="0042326B">
            <w:pPr>
              <w:pStyle w:val="TableBody"/>
            </w:pPr>
            <w:r w:rsidRPr="00C24E0D">
              <w:t>The primary reference for heritage management in NSW when first published, and parts of the manual have subsequently been replaced</w:t>
            </w:r>
            <w:r w:rsidR="0042326B">
              <w:t xml:space="preserve"> b</w:t>
            </w:r>
            <w:r w:rsidRPr="00C24E0D">
              <w:t xml:space="preserve">y new </w:t>
            </w:r>
            <w:r w:rsidR="0042326B" w:rsidRPr="00C24E0D">
              <w:t>guidelines</w:t>
            </w:r>
            <w:r w:rsidRPr="00C24E0D">
              <w:t>. However much of the information remains relevant and is published as individual booklets.</w:t>
            </w:r>
          </w:p>
        </w:tc>
      </w:tr>
      <w:tr w:rsidR="00051D7B" w:rsidRPr="00F06DBB" w14:paraId="7C40C267" w14:textId="77777777" w:rsidTr="007D21D4">
        <w:trPr>
          <w:trHeight w:val="340"/>
        </w:trPr>
        <w:tc>
          <w:tcPr>
            <w:tcW w:w="2235" w:type="dxa"/>
          </w:tcPr>
          <w:p w14:paraId="6DFBAB65" w14:textId="7992CD88" w:rsidR="00051D7B" w:rsidRDefault="00C24E0D" w:rsidP="00342337">
            <w:pPr>
              <w:pStyle w:val="TableBody"/>
            </w:pPr>
            <w:r w:rsidRPr="00C24E0D">
              <w:t>Assessing Heritage Significance (2001)</w:t>
            </w:r>
          </w:p>
        </w:tc>
        <w:tc>
          <w:tcPr>
            <w:tcW w:w="1275" w:type="dxa"/>
          </w:tcPr>
          <w:p w14:paraId="6AEB2558" w14:textId="0FE3DD9C" w:rsidR="00051D7B" w:rsidRPr="00F06DBB" w:rsidRDefault="00C24E0D" w:rsidP="00342337">
            <w:pPr>
              <w:pStyle w:val="TableBody"/>
            </w:pPr>
            <w:r>
              <w:t>OEH</w:t>
            </w:r>
          </w:p>
        </w:tc>
        <w:tc>
          <w:tcPr>
            <w:tcW w:w="5770" w:type="dxa"/>
          </w:tcPr>
          <w:p w14:paraId="5A049123" w14:textId="538A835C" w:rsidR="00051D7B" w:rsidRPr="00F06DBB" w:rsidRDefault="0042326B" w:rsidP="00342337">
            <w:pPr>
              <w:pStyle w:val="TableBody"/>
            </w:pPr>
            <w:r w:rsidRPr="0042326B">
              <w:t>Second part of the NSW Heritage Manual providing guidance as to how, why and when to assess significance.</w:t>
            </w:r>
          </w:p>
        </w:tc>
      </w:tr>
      <w:tr w:rsidR="00051D7B" w:rsidRPr="00F06DBB" w14:paraId="530E6421" w14:textId="77777777" w:rsidTr="007D21D4">
        <w:trPr>
          <w:trHeight w:val="340"/>
        </w:trPr>
        <w:tc>
          <w:tcPr>
            <w:tcW w:w="2235" w:type="dxa"/>
          </w:tcPr>
          <w:p w14:paraId="5B6EEFB0" w14:textId="78B38ABF" w:rsidR="00051D7B" w:rsidRDefault="0042326B" w:rsidP="00342337">
            <w:pPr>
              <w:pStyle w:val="TableBody"/>
            </w:pPr>
            <w:r w:rsidRPr="0042326B">
              <w:t>Assessing Significance for Historical Archaeological Sites and Relics (2009)</w:t>
            </w:r>
          </w:p>
        </w:tc>
        <w:tc>
          <w:tcPr>
            <w:tcW w:w="1275" w:type="dxa"/>
          </w:tcPr>
          <w:p w14:paraId="49EE1FF5" w14:textId="1ADEC1F7" w:rsidR="00051D7B" w:rsidRPr="00F06DBB" w:rsidRDefault="0042326B" w:rsidP="00342337">
            <w:pPr>
              <w:pStyle w:val="TableBody"/>
            </w:pPr>
            <w:r>
              <w:t>OEH</w:t>
            </w:r>
          </w:p>
        </w:tc>
        <w:tc>
          <w:tcPr>
            <w:tcW w:w="5770" w:type="dxa"/>
          </w:tcPr>
          <w:p w14:paraId="4F4CDEDB" w14:textId="758083F4" w:rsidR="00051D7B" w:rsidRPr="00F06DBB" w:rsidRDefault="0042326B" w:rsidP="00342337">
            <w:pPr>
              <w:pStyle w:val="TableBody"/>
            </w:pPr>
            <w:r w:rsidRPr="0042326B">
              <w:t>Provides advice about how to assess the heritage significance of known and potential archaeological resources, features or deposits and determine whether they are ‘relics’ as defined by the Act.</w:t>
            </w:r>
          </w:p>
        </w:tc>
      </w:tr>
    </w:tbl>
    <w:p w14:paraId="520BC8D1" w14:textId="77777777" w:rsidR="00051D7B" w:rsidRDefault="00051D7B" w:rsidP="00373D83">
      <w:pPr>
        <w:pStyle w:val="BodyText"/>
      </w:pPr>
    </w:p>
    <w:p w14:paraId="791E9C5F" w14:textId="77777777" w:rsidR="00382766" w:rsidRDefault="00382766" w:rsidP="00382766">
      <w:pPr>
        <w:pStyle w:val="Heading2"/>
      </w:pPr>
      <w:bookmarkStart w:id="47" w:name="_Toc400720080"/>
      <w:r>
        <w:t>Survey methodology</w:t>
      </w:r>
      <w:bookmarkEnd w:id="47"/>
    </w:p>
    <w:p w14:paraId="27798EAE" w14:textId="041AA42A" w:rsidR="00245AD1" w:rsidRDefault="00245AD1" w:rsidP="00245AD1">
      <w:pPr>
        <w:pStyle w:val="BodyText"/>
      </w:pPr>
      <w:r>
        <w:t xml:space="preserve">Heritage places contribute to the understanding and character of a community by providing tangible evidence of its history and identity. At times of change, they help to preserve a connection to the past, and can provide a point of reference for interpreting the past to future generations. Article 15 of the Burra Charter refers to managing change, which should be guided by the cultural significance of the place and its appropriate interpretation. The Burra Charter process also recognises that the development of preferred conservation options requires consideration of a range of other factors which could affect the future of a place. These include: </w:t>
      </w:r>
    </w:p>
    <w:p w14:paraId="7D637A5B" w14:textId="77777777" w:rsidR="00245AD1" w:rsidRDefault="00245AD1" w:rsidP="00245AD1">
      <w:pPr>
        <w:pStyle w:val="ListBullet"/>
      </w:pPr>
      <w:r>
        <w:t>requirements of the owner, in this instance the Commonwealth</w:t>
      </w:r>
    </w:p>
    <w:p w14:paraId="6C59EA65" w14:textId="77777777" w:rsidR="00245AD1" w:rsidRDefault="00245AD1" w:rsidP="00245AD1">
      <w:pPr>
        <w:pStyle w:val="ListBullet"/>
      </w:pPr>
      <w:r>
        <w:t>the physical condition of the place</w:t>
      </w:r>
    </w:p>
    <w:p w14:paraId="50820FEA" w14:textId="77777777" w:rsidR="00245AD1" w:rsidRDefault="00245AD1" w:rsidP="00245AD1">
      <w:pPr>
        <w:pStyle w:val="ListBullet"/>
      </w:pPr>
      <w:proofErr w:type="gramStart"/>
      <w:r>
        <w:t>statutory</w:t>
      </w:r>
      <w:proofErr w:type="gramEnd"/>
      <w:r>
        <w:t xml:space="preserve"> obligations or issues related to heritage and safety requirements.</w:t>
      </w:r>
    </w:p>
    <w:p w14:paraId="02ED4FA5" w14:textId="0DE5E155" w:rsidR="0081317A" w:rsidRDefault="0081317A" w:rsidP="0081317A">
      <w:pPr>
        <w:pStyle w:val="BodyText"/>
      </w:pPr>
      <w:r>
        <w:t>An environmental survey report for historic heritage assessment was prepared by Australian Museum Consulting (October 2014) to update the understanding of historic heritage in relation to the Commonwealth land at Badgerys Creek and to interpret the findings of the survey in the context of current Commonwealth and NSW legislation and guidance materials.</w:t>
      </w:r>
    </w:p>
    <w:p w14:paraId="064DE40D" w14:textId="650E8A94" w:rsidR="00245AD1" w:rsidRDefault="0081317A" w:rsidP="00245AD1">
      <w:pPr>
        <w:pStyle w:val="BodyText"/>
      </w:pPr>
      <w:r>
        <w:t xml:space="preserve">The survey and reporting </w:t>
      </w:r>
      <w:r w:rsidR="00245AD1">
        <w:t xml:space="preserve">methodology </w:t>
      </w:r>
      <w:r>
        <w:t xml:space="preserve">is consistent with the principles of </w:t>
      </w:r>
      <w:r w:rsidR="002B68DC">
        <w:t>t</w:t>
      </w:r>
      <w:r>
        <w:t xml:space="preserve">he </w:t>
      </w:r>
      <w:r w:rsidR="002B68DC">
        <w:t>Burra Charter</w:t>
      </w:r>
      <w:r w:rsidR="00245AD1">
        <w:t xml:space="preserve">. It has also been informed by the requirements of </w:t>
      </w:r>
      <w:r w:rsidR="00245AD1" w:rsidRPr="002B68DC">
        <w:rPr>
          <w:i/>
        </w:rPr>
        <w:t>EPBC Act Policy Statement 1.1 – Significant Impact Guidelines – Matters of National Environmental Significance</w:t>
      </w:r>
      <w:r w:rsidR="00245AD1">
        <w:t>, and</w:t>
      </w:r>
      <w:r w:rsidR="00245AD1" w:rsidRPr="002B68DC">
        <w:rPr>
          <w:i/>
        </w:rPr>
        <w:t xml:space="preserve"> EPBC Act Policy Statement 1.2 – Significant Impact Guidelines – Actions on, or impacting upon, Commonwealth land, and actions by Commonwealth agencies</w:t>
      </w:r>
      <w:r w:rsidR="00245AD1">
        <w:t>.</w:t>
      </w:r>
    </w:p>
    <w:p w14:paraId="65151A1F" w14:textId="458AB820" w:rsidR="0081317A" w:rsidRDefault="00245AD1" w:rsidP="0081317A">
      <w:pPr>
        <w:pStyle w:val="BodyText"/>
      </w:pPr>
      <w:r>
        <w:t>The methodology is also consistent with</w:t>
      </w:r>
      <w:r w:rsidR="0081317A">
        <w:t xml:space="preserve"> current </w:t>
      </w:r>
      <w:r>
        <w:t xml:space="preserve">NSW </w:t>
      </w:r>
      <w:r w:rsidR="0081317A">
        <w:t xml:space="preserve">best-practice heritage guidelines as identified in the </w:t>
      </w:r>
      <w:r w:rsidR="0081317A" w:rsidRPr="002B68DC">
        <w:rPr>
          <w:i/>
        </w:rPr>
        <w:t>NSW Heritage Manual</w:t>
      </w:r>
      <w:r w:rsidR="0081317A">
        <w:t xml:space="preserve"> </w:t>
      </w:r>
      <w:r w:rsidR="002B68DC">
        <w:t>(</w:t>
      </w:r>
      <w:r w:rsidR="0081317A">
        <w:t>Heritage Office</w:t>
      </w:r>
      <w:r w:rsidR="002B68DC">
        <w:rPr>
          <w:rStyle w:val="FootnoteReference"/>
        </w:rPr>
        <w:footnoteReference w:id="2"/>
      </w:r>
      <w:r w:rsidR="0081317A">
        <w:t xml:space="preserve"> and Department of Urban Affairs and Planning</w:t>
      </w:r>
      <w:r w:rsidR="002B68DC">
        <w:t xml:space="preserve"> 1996) </w:t>
      </w:r>
      <w:r w:rsidR="0081317A">
        <w:t xml:space="preserve">and associated supplementary publications including </w:t>
      </w:r>
      <w:r w:rsidR="0081317A" w:rsidRPr="002B68DC">
        <w:rPr>
          <w:i/>
        </w:rPr>
        <w:t>Conservation Areas</w:t>
      </w:r>
      <w:r w:rsidR="0081317A">
        <w:t xml:space="preserve"> (1996), </w:t>
      </w:r>
      <w:r w:rsidR="0081317A" w:rsidRPr="002B68DC">
        <w:rPr>
          <w:i/>
        </w:rPr>
        <w:t>Heritage Curtilages</w:t>
      </w:r>
      <w:r w:rsidR="0081317A">
        <w:t xml:space="preserve"> (1996), </w:t>
      </w:r>
      <w:r w:rsidR="0081317A" w:rsidRPr="002B68DC">
        <w:rPr>
          <w:i/>
        </w:rPr>
        <w:t>Assessing Heritage Significance</w:t>
      </w:r>
      <w:r w:rsidR="0081317A">
        <w:t xml:space="preserve"> (2001) and </w:t>
      </w:r>
      <w:r w:rsidR="0081317A" w:rsidRPr="002B68DC">
        <w:rPr>
          <w:i/>
        </w:rPr>
        <w:t>Assessing Significance For Historical Archaeological Sites and ‘Relics’</w:t>
      </w:r>
      <w:r w:rsidR="0081317A">
        <w:t xml:space="preserve"> (2009).</w:t>
      </w:r>
    </w:p>
    <w:p w14:paraId="245A78F6" w14:textId="77777777" w:rsidR="001974F2" w:rsidRDefault="001974F2" w:rsidP="00245AD1">
      <w:pPr>
        <w:pStyle w:val="BodyText"/>
        <w:keepNext/>
      </w:pPr>
      <w:r>
        <w:t xml:space="preserve">To prepare the environmental survey report, the following tasks were undertaken: </w:t>
      </w:r>
    </w:p>
    <w:p w14:paraId="3DDF3AAD" w14:textId="1EB2CBF4" w:rsidR="001974F2" w:rsidRDefault="00183087" w:rsidP="001974F2">
      <w:pPr>
        <w:pStyle w:val="ListBullet"/>
      </w:pPr>
      <w:r>
        <w:t>r</w:t>
      </w:r>
      <w:r w:rsidR="001974F2">
        <w:t xml:space="preserve">eview of existing information relating to the management of the </w:t>
      </w:r>
      <w:r w:rsidR="004F79B1">
        <w:t>Commonwealth land</w:t>
      </w:r>
      <w:r>
        <w:t xml:space="preserve"> at Badgerys Creek</w:t>
      </w:r>
    </w:p>
    <w:p w14:paraId="37DAD95D" w14:textId="1D3D908C" w:rsidR="001974F2" w:rsidRDefault="00183087" w:rsidP="001974F2">
      <w:pPr>
        <w:pStyle w:val="ListBullet"/>
      </w:pPr>
      <w:r>
        <w:t>s</w:t>
      </w:r>
      <w:r w:rsidR="001974F2">
        <w:t>earches of the statutory and non-statutory heritage registers and lists</w:t>
      </w:r>
      <w:r>
        <w:t>, undertaken in September 2014</w:t>
      </w:r>
    </w:p>
    <w:p w14:paraId="61D18872" w14:textId="081AD9A9" w:rsidR="001974F2" w:rsidRDefault="00183087" w:rsidP="001974F2">
      <w:pPr>
        <w:pStyle w:val="ListBullet"/>
      </w:pPr>
      <w:r>
        <w:t>p</w:t>
      </w:r>
      <w:r w:rsidR="001974F2">
        <w:t xml:space="preserve">reparation of a thematic history of the site based on primary and </w:t>
      </w:r>
      <w:r>
        <w:t>secondary documentary resources</w:t>
      </w:r>
    </w:p>
    <w:p w14:paraId="3E6C5814" w14:textId="36CD55B4" w:rsidR="001974F2" w:rsidRDefault="00183087" w:rsidP="001974F2">
      <w:pPr>
        <w:pStyle w:val="ListBullet"/>
      </w:pPr>
      <w:r>
        <w:t>p</w:t>
      </w:r>
      <w:r w:rsidR="001974F2">
        <w:t>hysical survey (surface only) to allow confirmation of previously identified heritage items and identification of any additional historic heri</w:t>
      </w:r>
      <w:r>
        <w:t>tage values that may be present</w:t>
      </w:r>
    </w:p>
    <w:p w14:paraId="2CBAF06B" w14:textId="6AF7E2A8" w:rsidR="0081317A" w:rsidRDefault="00183087" w:rsidP="001974F2">
      <w:pPr>
        <w:pStyle w:val="ListBullet"/>
      </w:pPr>
      <w:proofErr w:type="gramStart"/>
      <w:r>
        <w:t>p</w:t>
      </w:r>
      <w:r w:rsidR="001974F2">
        <w:t>reparation</w:t>
      </w:r>
      <w:proofErr w:type="gramEnd"/>
      <w:r w:rsidR="001974F2">
        <w:t xml:space="preserve"> of a report describing the results of the background research, the extent of historic heritage items identified in the study area and recommendations for future investigations to support any future assessments that may be undertaken.</w:t>
      </w:r>
    </w:p>
    <w:p w14:paraId="155AF846" w14:textId="1CE9AB8F" w:rsidR="00F25067" w:rsidRDefault="00F25067" w:rsidP="00F25067">
      <w:pPr>
        <w:pStyle w:val="BodyText"/>
      </w:pPr>
      <w:r>
        <w:t>A full description of the methodology is provided in the historic heritage report included as Appendix C to this report.</w:t>
      </w:r>
    </w:p>
    <w:p w14:paraId="503F191C" w14:textId="1FB31C38" w:rsidR="00F2669E" w:rsidRDefault="00F2669E" w:rsidP="005613AC">
      <w:pPr>
        <w:pStyle w:val="Subheading"/>
      </w:pPr>
      <w:r>
        <w:t>Limitations</w:t>
      </w:r>
    </w:p>
    <w:p w14:paraId="0070870B" w14:textId="3421FCC4" w:rsidR="00183087" w:rsidRDefault="00183087" w:rsidP="00183087">
      <w:pPr>
        <w:pStyle w:val="BodyText"/>
      </w:pPr>
      <w:r>
        <w:t>The limitations of the historic heritage survey are as follows:</w:t>
      </w:r>
    </w:p>
    <w:p w14:paraId="4A9776B7" w14:textId="1461687F" w:rsidR="00B702AF" w:rsidRDefault="00B702AF" w:rsidP="00B702AF">
      <w:pPr>
        <w:pStyle w:val="ListBullet"/>
      </w:pPr>
      <w:r>
        <w:t>Limited time for discovery and access of relevant historical documentation and more recent historic and heritage studies with limited availability, such as Council heritage studies.</w:t>
      </w:r>
    </w:p>
    <w:p w14:paraId="2FB22632" w14:textId="486A6FFA" w:rsidR="00B702AF" w:rsidRDefault="00B702AF" w:rsidP="00B702AF">
      <w:pPr>
        <w:pStyle w:val="ListBullet"/>
      </w:pPr>
      <w:r>
        <w:t>Limited time to research relevant historic documents and plans, and a range of potential resources.</w:t>
      </w:r>
    </w:p>
    <w:p w14:paraId="60700C3A" w14:textId="44133E95" w:rsidR="00B702AF" w:rsidRDefault="00B702AF" w:rsidP="00B702AF">
      <w:pPr>
        <w:pStyle w:val="ListBullet"/>
      </w:pPr>
      <w:r>
        <w:t>Field survey was limited to two days and undertaken primarily by car (in order to maximise the number of sites inspected in the available time). As such, additional items of interest we</w:t>
      </w:r>
      <w:r w:rsidR="00A61570">
        <w:t>re opportunistic discoveries. T</w:t>
      </w:r>
      <w:r>
        <w:t xml:space="preserve">here is potential for other items or places within the study area that could be of interest, but which have </w:t>
      </w:r>
      <w:proofErr w:type="gramStart"/>
      <w:r>
        <w:t>may</w:t>
      </w:r>
      <w:proofErr w:type="gramEnd"/>
      <w:r>
        <w:t xml:space="preserve"> been overlooked.</w:t>
      </w:r>
    </w:p>
    <w:p w14:paraId="4CFE79E3" w14:textId="0A0CEAD2" w:rsidR="00B702AF" w:rsidRDefault="00B702AF" w:rsidP="00B702AF">
      <w:pPr>
        <w:pStyle w:val="ListBullet"/>
      </w:pPr>
      <w:r>
        <w:t>Timely access was not available to some properties due to difficulties in meeting required access notification requirements.</w:t>
      </w:r>
    </w:p>
    <w:p w14:paraId="0B11D646" w14:textId="08973387" w:rsidR="00B702AF" w:rsidRDefault="00B702AF" w:rsidP="00B702AF">
      <w:pPr>
        <w:pStyle w:val="ListBullet"/>
      </w:pPr>
      <w:r>
        <w:t>Archaeological sites could only be identified where there were physical remains associated with the original structure(s); as such there is some uncertainty regarding the precise location of some sites.</w:t>
      </w:r>
    </w:p>
    <w:p w14:paraId="4655FBDE" w14:textId="48A91FE1" w:rsidR="00B702AF" w:rsidRDefault="00B702AF" w:rsidP="00B702AF">
      <w:pPr>
        <w:pStyle w:val="ListBullet"/>
      </w:pPr>
      <w:r>
        <w:t>The scope of the current investigation has not included a comprehensive survey of listed and potential items in the vicinity of the study area.</w:t>
      </w:r>
    </w:p>
    <w:p w14:paraId="17BD30A7" w14:textId="3620C29D" w:rsidR="00B702AF" w:rsidRDefault="00B702AF" w:rsidP="00B702AF">
      <w:pPr>
        <w:pStyle w:val="ListBullet"/>
      </w:pPr>
      <w:r>
        <w:t>Since acquisition of the land by the Commonwealth the diverse properties have been amalgamated into a single Lot 1 DP 838361. The original Lot and DP numbers for most of the properties within the study area are now more difficult to determine, thus hampering research into the history of these properties.</w:t>
      </w:r>
    </w:p>
    <w:p w14:paraId="336FF741" w14:textId="3D8B30A6" w:rsidR="00B702AF" w:rsidRPr="003530F0" w:rsidRDefault="003530F0" w:rsidP="00641C57">
      <w:pPr>
        <w:pStyle w:val="BodyText"/>
      </w:pPr>
      <w:r w:rsidRPr="003530F0">
        <w:t>T</w:t>
      </w:r>
      <w:r w:rsidR="002D51B9" w:rsidRPr="003530F0">
        <w:t xml:space="preserve">he time and access limitations encountered during the current investigations </w:t>
      </w:r>
      <w:r>
        <w:t>mean</w:t>
      </w:r>
      <w:r w:rsidR="002D51B9" w:rsidRPr="003530F0">
        <w:t xml:space="preserve"> that </w:t>
      </w:r>
      <w:r>
        <w:t>further</w:t>
      </w:r>
      <w:r w:rsidR="002D51B9" w:rsidRPr="003530F0">
        <w:t xml:space="preserve"> detailed research and assessment of the study area, its local environment and the lands in its vicinity, will be required to inform any proposals for future development. Recommendations to this effect have been ma</w:t>
      </w:r>
      <w:r w:rsidRPr="003530F0">
        <w:t xml:space="preserve">de in Section </w:t>
      </w:r>
      <w:r>
        <w:fldChar w:fldCharType="begin"/>
      </w:r>
      <w:r>
        <w:instrText xml:space="preserve"> REF _Ref401920061 \r \h </w:instrText>
      </w:r>
      <w:r>
        <w:fldChar w:fldCharType="separate"/>
      </w:r>
      <w:r w:rsidR="004E469D">
        <w:t>3.5</w:t>
      </w:r>
      <w:r>
        <w:fldChar w:fldCharType="end"/>
      </w:r>
      <w:r w:rsidRPr="003530F0">
        <w:t xml:space="preserve"> of this report.</w:t>
      </w:r>
      <w:r>
        <w:t xml:space="preserve"> </w:t>
      </w:r>
      <w:r w:rsidR="002D51B9" w:rsidRPr="003530F0">
        <w:t>Th</w:t>
      </w:r>
      <w:r>
        <w:t xml:space="preserve">e identified limitations notwithstanding </w:t>
      </w:r>
      <w:r w:rsidR="002D51B9" w:rsidRPr="003530F0">
        <w:t>the research and field survey undertaken for the current investigation have added to an understanding of the heritage context of the Commonwealth land at Badgerys Creek and will provide a good basis for future investigations.</w:t>
      </w:r>
    </w:p>
    <w:p w14:paraId="23DCAFD2" w14:textId="77777777" w:rsidR="009836E4" w:rsidRDefault="009836E4" w:rsidP="009836E4">
      <w:pPr>
        <w:pStyle w:val="Heading2"/>
      </w:pPr>
      <w:bookmarkStart w:id="48" w:name="_Toc400720081"/>
      <w:r>
        <w:t>Key findings and information gaps</w:t>
      </w:r>
      <w:bookmarkEnd w:id="48"/>
    </w:p>
    <w:p w14:paraId="64E3A9A6" w14:textId="55F22F7C" w:rsidR="005A7572" w:rsidRDefault="006029E2" w:rsidP="006029E2">
      <w:pPr>
        <w:pStyle w:val="BodyText"/>
      </w:pPr>
      <w:r w:rsidRPr="00892A36">
        <w:t xml:space="preserve">Under the EPBC Act, owners and managers of Commonwealth land are required to identify and assess items and places under their control for heritage value. Identification of heritage values is the first step in the process of developing management strategies to guide the management and conservation </w:t>
      </w:r>
      <w:r>
        <w:t>of</w:t>
      </w:r>
      <w:r w:rsidRPr="00892A36">
        <w:t xml:space="preserve"> heritage values of items and places for present and future generations.</w:t>
      </w:r>
      <w:r>
        <w:t xml:space="preserve"> In 2005, the Department of Transport and Regional Services (the predecessor to the Department of Infrastructure and Development) prepared a heritage strategy </w:t>
      </w:r>
      <w:r w:rsidR="005A7572">
        <w:t>that</w:t>
      </w:r>
      <w:r w:rsidR="005A7572" w:rsidRPr="003F463C">
        <w:t xml:space="preserve"> complies with the EPBC Regulations 2000 and Sections 341Z and 341ZA of the EPBC Act.</w:t>
      </w:r>
    </w:p>
    <w:p w14:paraId="23103A00" w14:textId="33BF9721" w:rsidR="006029E2" w:rsidRDefault="006029E2" w:rsidP="006029E2">
      <w:pPr>
        <w:pStyle w:val="BodyText"/>
      </w:pPr>
      <w:r>
        <w:t xml:space="preserve">The strategy outlines the Department’s obligations and approach to managing the heritage values of its assets. </w:t>
      </w:r>
      <w:r w:rsidR="003F463C">
        <w:t xml:space="preserve">Appendix 5 to the strategy </w:t>
      </w:r>
      <w:r>
        <w:t>includes a reference to the Commonwealth land at Badgerys Creek</w:t>
      </w:r>
      <w:r w:rsidR="003F463C">
        <w:t xml:space="preserve"> with discussion generally limited to noting past investigations and the outcomes of these.</w:t>
      </w:r>
    </w:p>
    <w:p w14:paraId="5179E84F" w14:textId="595F0457" w:rsidR="00F25067" w:rsidRPr="00F25067" w:rsidRDefault="00F25067" w:rsidP="00F25067">
      <w:pPr>
        <w:pStyle w:val="BodyText"/>
      </w:pPr>
      <w:r w:rsidRPr="00F25067">
        <w:t>The local Badgerys Creek environment has remained largely unchanged with land use characterised by large and small rural holdings and residential allotments since the late 1990s. The study area is within John Blaxland’s original Luddenham Estate, which was subdivided and sold in smaller land holdings between 1859 and 1864.</w:t>
      </w:r>
      <w:r w:rsidR="003530F0">
        <w:t xml:space="preserve"> </w:t>
      </w:r>
      <w:r w:rsidRPr="00F25067">
        <w:t xml:space="preserve">Technical Paper 12 included inventories for each item identified as having heritage significance </w:t>
      </w:r>
      <w:r w:rsidR="006029E2">
        <w:t>together with</w:t>
      </w:r>
      <w:r w:rsidRPr="00F25067">
        <w:t xml:space="preserve"> a brief description and historical outline. The </w:t>
      </w:r>
      <w:r w:rsidR="006029E2">
        <w:t>current</w:t>
      </w:r>
      <w:r w:rsidRPr="00F25067">
        <w:t xml:space="preserve"> review of heritage registers and lists, and the update of the historic environment </w:t>
      </w:r>
      <w:proofErr w:type="gramStart"/>
      <w:r w:rsidRPr="00F25067">
        <w:t>has</w:t>
      </w:r>
      <w:proofErr w:type="gramEnd"/>
      <w:r w:rsidRPr="00F25067">
        <w:t xml:space="preserve"> found that the local heritage environment of the study area has not changed substantially</w:t>
      </w:r>
      <w:r>
        <w:t>. N</w:t>
      </w:r>
      <w:r w:rsidRPr="00F25067">
        <w:t xml:space="preserve">o new heritage items or potential heritage items were identified within the </w:t>
      </w:r>
      <w:r>
        <w:t>Commonwealth land</w:t>
      </w:r>
      <w:r w:rsidRPr="00F25067">
        <w:t xml:space="preserve">; however </w:t>
      </w:r>
      <w:r w:rsidR="006029E2">
        <w:t xml:space="preserve">several </w:t>
      </w:r>
      <w:r w:rsidRPr="00F25067">
        <w:t xml:space="preserve">new items </w:t>
      </w:r>
      <w:r w:rsidR="006029E2">
        <w:t>were</w:t>
      </w:r>
      <w:r w:rsidRPr="00F25067">
        <w:t xml:space="preserve"> identified within </w:t>
      </w:r>
      <w:r>
        <w:t>the vicinity of the Commonwealth land.</w:t>
      </w:r>
    </w:p>
    <w:p w14:paraId="1403960E" w14:textId="26FC1893" w:rsidR="00954EF4" w:rsidRDefault="00954EF4" w:rsidP="00954EF4">
      <w:pPr>
        <w:pStyle w:val="BodyText"/>
      </w:pPr>
      <w:r>
        <w:t>The</w:t>
      </w:r>
      <w:r w:rsidR="003F463C">
        <w:t xml:space="preserve"> current investigation identified eight</w:t>
      </w:r>
      <w:r>
        <w:t xml:space="preserve"> historic heritage places within the </w:t>
      </w:r>
      <w:r w:rsidR="003F463C">
        <w:t xml:space="preserve">Commonwealth land at </w:t>
      </w:r>
      <w:r>
        <w:t>the Badgerys Creek</w:t>
      </w:r>
      <w:r w:rsidR="003F463C">
        <w:t xml:space="preserve">. It also identified a number of other heritage items and places in the wider study area. These are listed in </w:t>
      </w:r>
      <w:r w:rsidR="003F463C">
        <w:fldChar w:fldCharType="begin"/>
      </w:r>
      <w:r w:rsidR="003F463C">
        <w:instrText xml:space="preserve"> REF _Ref401848964 \h </w:instrText>
      </w:r>
      <w:r w:rsidR="003F463C">
        <w:fldChar w:fldCharType="separate"/>
      </w:r>
      <w:r w:rsidR="004E469D">
        <w:t xml:space="preserve">Table </w:t>
      </w:r>
      <w:r w:rsidR="004E469D">
        <w:rPr>
          <w:noProof/>
        </w:rPr>
        <w:t>3</w:t>
      </w:r>
      <w:r w:rsidR="004E469D">
        <w:t>.</w:t>
      </w:r>
      <w:r w:rsidR="004E469D">
        <w:rPr>
          <w:noProof/>
        </w:rPr>
        <w:t>4</w:t>
      </w:r>
      <w:r w:rsidR="003F463C">
        <w:fldChar w:fldCharType="end"/>
      </w:r>
      <w:r w:rsidR="003F463C">
        <w:t xml:space="preserve"> and </w:t>
      </w:r>
      <w:r w:rsidR="003F463C">
        <w:fldChar w:fldCharType="begin"/>
      </w:r>
      <w:r w:rsidR="003F463C">
        <w:instrText xml:space="preserve"> REF _Ref401848972 \h </w:instrText>
      </w:r>
      <w:r w:rsidR="003F463C">
        <w:fldChar w:fldCharType="separate"/>
      </w:r>
      <w:r w:rsidR="004E469D">
        <w:t xml:space="preserve">Table </w:t>
      </w:r>
      <w:r w:rsidR="004E469D">
        <w:rPr>
          <w:noProof/>
        </w:rPr>
        <w:t>3</w:t>
      </w:r>
      <w:r w:rsidR="004E469D">
        <w:t>.</w:t>
      </w:r>
      <w:r w:rsidR="004E469D">
        <w:rPr>
          <w:noProof/>
        </w:rPr>
        <w:t>5</w:t>
      </w:r>
      <w:r w:rsidR="003F463C">
        <w:fldChar w:fldCharType="end"/>
      </w:r>
      <w:r w:rsidR="003F463C">
        <w:t xml:space="preserve"> respectively and their locations shown in </w:t>
      </w:r>
      <w:r w:rsidR="007D5E07">
        <w:fldChar w:fldCharType="begin"/>
      </w:r>
      <w:r w:rsidR="007D5E07">
        <w:instrText xml:space="preserve"> REF _Ref400716972 \h </w:instrText>
      </w:r>
      <w:r w:rsidR="007D5E07">
        <w:fldChar w:fldCharType="separate"/>
      </w:r>
      <w:r w:rsidR="004E469D">
        <w:t xml:space="preserve">Figure </w:t>
      </w:r>
      <w:r w:rsidR="004E469D">
        <w:rPr>
          <w:noProof/>
        </w:rPr>
        <w:t>3</w:t>
      </w:r>
      <w:r w:rsidR="004E469D">
        <w:t>.</w:t>
      </w:r>
      <w:r w:rsidR="004E469D">
        <w:rPr>
          <w:noProof/>
        </w:rPr>
        <w:t>1</w:t>
      </w:r>
      <w:r w:rsidR="007D5E07">
        <w:fldChar w:fldCharType="end"/>
      </w:r>
      <w:r w:rsidR="003F463C">
        <w:t>.</w:t>
      </w:r>
    </w:p>
    <w:p w14:paraId="6D539163" w14:textId="1FC33EB5" w:rsidR="00954EF4" w:rsidRDefault="00954EF4" w:rsidP="003530F0">
      <w:pPr>
        <w:pStyle w:val="Caption"/>
        <w:pageBreakBefore/>
        <w:ind w:left="1134" w:hanging="1134"/>
      </w:pPr>
      <w:bookmarkStart w:id="49" w:name="_Ref401848964"/>
      <w:bookmarkStart w:id="50" w:name="_Toc402442842"/>
      <w:proofErr w:type="gramStart"/>
      <w:r>
        <w:t xml:space="preserve">Table </w:t>
      </w:r>
      <w:fldSimple w:instr=" STYLEREF 1 \s ">
        <w:r w:rsidR="004E469D">
          <w:rPr>
            <w:noProof/>
          </w:rPr>
          <w:t>3</w:t>
        </w:r>
      </w:fldSimple>
      <w:r w:rsidR="00EF76BA">
        <w:t>.</w:t>
      </w:r>
      <w:proofErr w:type="gramEnd"/>
      <w:r w:rsidR="001C525C">
        <w:fldChar w:fldCharType="begin"/>
      </w:r>
      <w:r w:rsidR="001C525C">
        <w:instrText xml:space="preserve"> SEQ Table \* ARABIC \s 1 </w:instrText>
      </w:r>
      <w:r w:rsidR="001C525C">
        <w:fldChar w:fldCharType="separate"/>
      </w:r>
      <w:r w:rsidR="004E469D">
        <w:rPr>
          <w:noProof/>
        </w:rPr>
        <w:t>4</w:t>
      </w:r>
      <w:r w:rsidR="001C525C">
        <w:rPr>
          <w:noProof/>
        </w:rPr>
        <w:fldChar w:fldCharType="end"/>
      </w:r>
      <w:bookmarkEnd w:id="49"/>
      <w:r>
        <w:tab/>
      </w:r>
      <w:r w:rsidR="00AA4B81">
        <w:t>H</w:t>
      </w:r>
      <w:r>
        <w:t xml:space="preserve">eritage items </w:t>
      </w:r>
      <w:r w:rsidR="00AA4B81">
        <w:t>within the Commonwealth land</w:t>
      </w:r>
      <w:r w:rsidR="003F463C">
        <w:t xml:space="preserve"> at Badgerys Creek</w:t>
      </w:r>
      <w:bookmarkEnd w:id="50"/>
    </w:p>
    <w:tbl>
      <w:tblPr>
        <w:tblStyle w:val="TableGrid"/>
        <w:tblW w:w="5000" w:type="pct"/>
        <w:tblBorders>
          <w:bottom w:val="single" w:sz="4" w:space="0" w:color="auto"/>
        </w:tblBorders>
        <w:tblLook w:val="04A0" w:firstRow="1" w:lastRow="0" w:firstColumn="1" w:lastColumn="0" w:noHBand="0" w:noVBand="1"/>
        <w:tblCaption w:val="Table 3.4 Heritage items within the Commonwealth land at Badgerys Creek"/>
        <w:tblDescription w:val="Table 3.4 Heritage items within the Commonwealth land at Badgerys Creek"/>
      </w:tblPr>
      <w:tblGrid>
        <w:gridCol w:w="817"/>
        <w:gridCol w:w="6663"/>
        <w:gridCol w:w="1800"/>
      </w:tblGrid>
      <w:tr w:rsidR="00954EF4" w:rsidRPr="0041025C" w14:paraId="5632DA3C" w14:textId="77777777" w:rsidTr="00954EF4">
        <w:trPr>
          <w:trHeight w:val="340"/>
          <w:tblHeader/>
        </w:trPr>
        <w:tc>
          <w:tcPr>
            <w:tcW w:w="440" w:type="pct"/>
          </w:tcPr>
          <w:p w14:paraId="39FD7049" w14:textId="77777777" w:rsidR="00954EF4" w:rsidRPr="006A756C" w:rsidRDefault="00954EF4" w:rsidP="006A756C">
            <w:pPr>
              <w:pStyle w:val="TableHeader"/>
              <w:jc w:val="center"/>
            </w:pPr>
            <w:r w:rsidRPr="006A756C">
              <w:t>ID</w:t>
            </w:r>
          </w:p>
        </w:tc>
        <w:tc>
          <w:tcPr>
            <w:tcW w:w="3590" w:type="pct"/>
          </w:tcPr>
          <w:p w14:paraId="4AC97AF5" w14:textId="77777777" w:rsidR="00954EF4" w:rsidRPr="006A756C" w:rsidRDefault="00954EF4" w:rsidP="006A756C">
            <w:pPr>
              <w:pStyle w:val="TableHeader"/>
            </w:pPr>
            <w:r w:rsidRPr="006A756C">
              <w:t>Item</w:t>
            </w:r>
          </w:p>
        </w:tc>
        <w:tc>
          <w:tcPr>
            <w:tcW w:w="970" w:type="pct"/>
          </w:tcPr>
          <w:p w14:paraId="2E7EEC0F" w14:textId="77777777" w:rsidR="00954EF4" w:rsidRPr="006A756C" w:rsidRDefault="00954EF4" w:rsidP="006A756C">
            <w:pPr>
              <w:pStyle w:val="TableHeader"/>
            </w:pPr>
            <w:r w:rsidRPr="006A756C">
              <w:t>Listing</w:t>
            </w:r>
          </w:p>
        </w:tc>
      </w:tr>
      <w:tr w:rsidR="00AA4B81" w:rsidRPr="00F06DBB" w14:paraId="73D77FE9" w14:textId="77777777" w:rsidTr="002548A7">
        <w:trPr>
          <w:trHeight w:val="340"/>
        </w:trPr>
        <w:tc>
          <w:tcPr>
            <w:tcW w:w="440" w:type="pct"/>
          </w:tcPr>
          <w:p w14:paraId="46F29E42" w14:textId="5E4A28B1" w:rsidR="00AA4B81" w:rsidRPr="006A756C" w:rsidRDefault="00AA4B81" w:rsidP="006A756C">
            <w:pPr>
              <w:pStyle w:val="TableBody"/>
            </w:pPr>
            <w:r w:rsidRPr="006A756C">
              <w:t>B1</w:t>
            </w:r>
          </w:p>
        </w:tc>
        <w:tc>
          <w:tcPr>
            <w:tcW w:w="3590" w:type="pct"/>
          </w:tcPr>
          <w:p w14:paraId="64AE2F81" w14:textId="49E5EC87" w:rsidR="00AA4B81" w:rsidRPr="006A756C" w:rsidRDefault="00AA4B81" w:rsidP="006A756C">
            <w:pPr>
              <w:pStyle w:val="TableBody"/>
            </w:pPr>
            <w:r w:rsidRPr="006A756C">
              <w:t>Badgerys Creek Public School</w:t>
            </w:r>
          </w:p>
        </w:tc>
        <w:tc>
          <w:tcPr>
            <w:tcW w:w="970" w:type="pct"/>
          </w:tcPr>
          <w:p w14:paraId="0961466D" w14:textId="5CA79A1E" w:rsidR="00AA4B81" w:rsidRPr="006A756C" w:rsidRDefault="00AA4B81" w:rsidP="006A756C">
            <w:pPr>
              <w:pStyle w:val="TableBody"/>
            </w:pPr>
            <w:r w:rsidRPr="006A756C">
              <w:t>Liverpool LEP 2008</w:t>
            </w:r>
          </w:p>
        </w:tc>
      </w:tr>
      <w:tr w:rsidR="00AA4B81" w:rsidRPr="00F06DBB" w14:paraId="675F9C56" w14:textId="77777777" w:rsidTr="002548A7">
        <w:trPr>
          <w:trHeight w:val="340"/>
        </w:trPr>
        <w:tc>
          <w:tcPr>
            <w:tcW w:w="440" w:type="pct"/>
          </w:tcPr>
          <w:p w14:paraId="77EB0104" w14:textId="5E07E67D" w:rsidR="00AA4B81" w:rsidRPr="006A756C" w:rsidRDefault="00AA4B81" w:rsidP="006A756C">
            <w:pPr>
              <w:pStyle w:val="TableBody"/>
            </w:pPr>
            <w:r w:rsidRPr="006A756C">
              <w:t>B2</w:t>
            </w:r>
          </w:p>
        </w:tc>
        <w:tc>
          <w:tcPr>
            <w:tcW w:w="3590" w:type="pct"/>
          </w:tcPr>
          <w:p w14:paraId="0D92F2C3" w14:textId="05095F7B" w:rsidR="00AA4B81" w:rsidRPr="006A756C" w:rsidRDefault="002548A7" w:rsidP="006A756C">
            <w:pPr>
              <w:pStyle w:val="TableBody"/>
            </w:pPr>
            <w:r w:rsidRPr="006A756C">
              <w:t>St John’s Anglican Church Group, including church and cemetery</w:t>
            </w:r>
          </w:p>
        </w:tc>
        <w:tc>
          <w:tcPr>
            <w:tcW w:w="970" w:type="pct"/>
          </w:tcPr>
          <w:p w14:paraId="5977E380" w14:textId="5FF673AB" w:rsidR="00AA4B81" w:rsidRPr="006A756C" w:rsidRDefault="00AA4B81" w:rsidP="006A756C">
            <w:pPr>
              <w:pStyle w:val="TableBody"/>
            </w:pPr>
            <w:r w:rsidRPr="006A756C">
              <w:t>Liverpool LEP 2008</w:t>
            </w:r>
          </w:p>
        </w:tc>
      </w:tr>
      <w:tr w:rsidR="00AA4B81" w:rsidRPr="00F06DBB" w14:paraId="350CD987" w14:textId="77777777" w:rsidTr="002548A7">
        <w:trPr>
          <w:trHeight w:val="340"/>
        </w:trPr>
        <w:tc>
          <w:tcPr>
            <w:tcW w:w="440" w:type="pct"/>
          </w:tcPr>
          <w:p w14:paraId="59FD6C3A" w14:textId="70224198" w:rsidR="00AA4B81" w:rsidRPr="006A756C" w:rsidRDefault="00AA4B81" w:rsidP="006A756C">
            <w:pPr>
              <w:pStyle w:val="TableBody"/>
            </w:pPr>
            <w:r w:rsidRPr="006A756C">
              <w:t>B3</w:t>
            </w:r>
          </w:p>
        </w:tc>
        <w:tc>
          <w:tcPr>
            <w:tcW w:w="3590" w:type="pct"/>
          </w:tcPr>
          <w:p w14:paraId="6A2DD6DE" w14:textId="2F253441" w:rsidR="00AA4B81" w:rsidRPr="006A756C" w:rsidRDefault="002548A7" w:rsidP="006A756C">
            <w:pPr>
              <w:pStyle w:val="TableBody"/>
            </w:pPr>
            <w:r w:rsidRPr="006A756C">
              <w:t>Badgerys Creek Uniting Church cemetery</w:t>
            </w:r>
          </w:p>
        </w:tc>
        <w:tc>
          <w:tcPr>
            <w:tcW w:w="970" w:type="pct"/>
          </w:tcPr>
          <w:p w14:paraId="7B98EEC4" w14:textId="0C4BF9CF" w:rsidR="00AA4B81" w:rsidRPr="006A756C" w:rsidRDefault="002548A7" w:rsidP="006A756C">
            <w:pPr>
              <w:pStyle w:val="TableBody"/>
            </w:pPr>
            <w:r w:rsidRPr="006A756C">
              <w:t>Not listed</w:t>
            </w:r>
          </w:p>
        </w:tc>
      </w:tr>
      <w:tr w:rsidR="00AA4B81" w:rsidRPr="00F06DBB" w14:paraId="2739A5E7" w14:textId="77777777" w:rsidTr="002548A7">
        <w:trPr>
          <w:trHeight w:val="340"/>
        </w:trPr>
        <w:tc>
          <w:tcPr>
            <w:tcW w:w="440" w:type="pct"/>
          </w:tcPr>
          <w:p w14:paraId="4901E157" w14:textId="6D3B4B8B" w:rsidR="00AA4B81" w:rsidRPr="006A756C" w:rsidRDefault="00AA4B81" w:rsidP="006A756C">
            <w:pPr>
              <w:pStyle w:val="TableBody"/>
            </w:pPr>
            <w:r w:rsidRPr="006A756C">
              <w:t>B4</w:t>
            </w:r>
          </w:p>
        </w:tc>
        <w:tc>
          <w:tcPr>
            <w:tcW w:w="3590" w:type="pct"/>
          </w:tcPr>
          <w:p w14:paraId="682EA384" w14:textId="123380FC" w:rsidR="00AA4B81" w:rsidRPr="006A756C" w:rsidRDefault="002548A7" w:rsidP="006A756C">
            <w:pPr>
              <w:pStyle w:val="TableBody"/>
            </w:pPr>
            <w:r w:rsidRPr="006A756C">
              <w:t>The Farm Cottage complex and associated out-buildings</w:t>
            </w:r>
          </w:p>
        </w:tc>
        <w:tc>
          <w:tcPr>
            <w:tcW w:w="970" w:type="pct"/>
          </w:tcPr>
          <w:p w14:paraId="6043E1C8" w14:textId="59BB41C1" w:rsidR="00AA4B81" w:rsidRPr="006A756C" w:rsidRDefault="00AA4B81" w:rsidP="006A756C">
            <w:pPr>
              <w:pStyle w:val="TableBody"/>
            </w:pPr>
            <w:r w:rsidRPr="006A756C">
              <w:t xml:space="preserve">Not listed </w:t>
            </w:r>
          </w:p>
        </w:tc>
      </w:tr>
      <w:tr w:rsidR="00AA4B81" w:rsidRPr="00F06DBB" w14:paraId="244A19CA" w14:textId="77777777" w:rsidTr="002548A7">
        <w:trPr>
          <w:trHeight w:val="340"/>
        </w:trPr>
        <w:tc>
          <w:tcPr>
            <w:tcW w:w="440" w:type="pct"/>
          </w:tcPr>
          <w:p w14:paraId="699E4623" w14:textId="16CDFFEC" w:rsidR="00AA4B81" w:rsidRPr="006A756C" w:rsidRDefault="00AA4B81" w:rsidP="006A756C">
            <w:pPr>
              <w:pStyle w:val="TableBody"/>
            </w:pPr>
            <w:r w:rsidRPr="006A756C">
              <w:t>B5</w:t>
            </w:r>
          </w:p>
        </w:tc>
        <w:tc>
          <w:tcPr>
            <w:tcW w:w="3590" w:type="pct"/>
          </w:tcPr>
          <w:p w14:paraId="77F5A7E5" w14:textId="31ACD5E5" w:rsidR="00AA4B81" w:rsidRPr="006A756C" w:rsidRDefault="002548A7" w:rsidP="006A756C">
            <w:pPr>
              <w:pStyle w:val="TableBody"/>
            </w:pPr>
            <w:r w:rsidRPr="006A756C">
              <w:t>Former Badgerys Creek butchery site</w:t>
            </w:r>
          </w:p>
        </w:tc>
        <w:tc>
          <w:tcPr>
            <w:tcW w:w="970" w:type="pct"/>
          </w:tcPr>
          <w:p w14:paraId="2636EDB6" w14:textId="7FD674DB" w:rsidR="00AA4B81" w:rsidRPr="006A756C" w:rsidRDefault="00AA4B81" w:rsidP="006A756C">
            <w:pPr>
              <w:pStyle w:val="TableBody"/>
            </w:pPr>
            <w:r w:rsidRPr="006A756C">
              <w:t xml:space="preserve">Not listed </w:t>
            </w:r>
          </w:p>
        </w:tc>
      </w:tr>
      <w:tr w:rsidR="00AA4B81" w:rsidRPr="00F06DBB" w14:paraId="69996837" w14:textId="77777777" w:rsidTr="002548A7">
        <w:trPr>
          <w:trHeight w:val="340"/>
        </w:trPr>
        <w:tc>
          <w:tcPr>
            <w:tcW w:w="440" w:type="pct"/>
          </w:tcPr>
          <w:p w14:paraId="49CC167A" w14:textId="77DFADEA" w:rsidR="00AA4B81" w:rsidRPr="006A756C" w:rsidRDefault="00AA4B81" w:rsidP="006A756C">
            <w:pPr>
              <w:pStyle w:val="TableBody"/>
            </w:pPr>
            <w:r w:rsidRPr="006A756C">
              <w:t>B6</w:t>
            </w:r>
          </w:p>
        </w:tc>
        <w:tc>
          <w:tcPr>
            <w:tcW w:w="3590" w:type="pct"/>
          </w:tcPr>
          <w:p w14:paraId="358713B9" w14:textId="7D066793" w:rsidR="00AA4B81" w:rsidRPr="006A756C" w:rsidRDefault="002548A7" w:rsidP="006A756C">
            <w:pPr>
              <w:pStyle w:val="TableBody"/>
            </w:pPr>
            <w:proofErr w:type="spellStart"/>
            <w:r w:rsidRPr="006A756C">
              <w:t>Braeburn</w:t>
            </w:r>
            <w:proofErr w:type="spellEnd"/>
            <w:r w:rsidRPr="006A756C">
              <w:t xml:space="preserve"> Homestead sites</w:t>
            </w:r>
          </w:p>
        </w:tc>
        <w:tc>
          <w:tcPr>
            <w:tcW w:w="970" w:type="pct"/>
          </w:tcPr>
          <w:p w14:paraId="1A0C6C09" w14:textId="614DFD67" w:rsidR="00AA4B81" w:rsidRPr="006A756C" w:rsidRDefault="00AA4B81" w:rsidP="006A756C">
            <w:pPr>
              <w:pStyle w:val="TableBody"/>
            </w:pPr>
            <w:r w:rsidRPr="006A756C">
              <w:t xml:space="preserve">Not listed </w:t>
            </w:r>
          </w:p>
        </w:tc>
      </w:tr>
      <w:tr w:rsidR="00AA4B81" w:rsidRPr="00F06DBB" w14:paraId="41FEE29C" w14:textId="77777777" w:rsidTr="002548A7">
        <w:trPr>
          <w:trHeight w:val="340"/>
        </w:trPr>
        <w:tc>
          <w:tcPr>
            <w:tcW w:w="440" w:type="pct"/>
          </w:tcPr>
          <w:p w14:paraId="3D3FE2BE" w14:textId="5B1FD827" w:rsidR="00AA4B81" w:rsidRPr="006A756C" w:rsidRDefault="00AA4B81" w:rsidP="006A756C">
            <w:pPr>
              <w:pStyle w:val="TableBody"/>
            </w:pPr>
            <w:r w:rsidRPr="006A756C">
              <w:t>B7</w:t>
            </w:r>
          </w:p>
        </w:tc>
        <w:tc>
          <w:tcPr>
            <w:tcW w:w="3590" w:type="pct"/>
          </w:tcPr>
          <w:p w14:paraId="56EA67EB" w14:textId="27DC7DB6" w:rsidR="00AA4B81" w:rsidRPr="006A756C" w:rsidRDefault="002548A7" w:rsidP="006A756C">
            <w:pPr>
              <w:pStyle w:val="TableBody"/>
            </w:pPr>
            <w:r w:rsidRPr="006A756C">
              <w:t xml:space="preserve">Former </w:t>
            </w:r>
            <w:proofErr w:type="spellStart"/>
            <w:r w:rsidRPr="006A756C">
              <w:t>Anchau</w:t>
            </w:r>
            <w:proofErr w:type="spellEnd"/>
            <w:r w:rsidRPr="006A756C">
              <w:t xml:space="preserve"> Vineyard site</w:t>
            </w:r>
          </w:p>
        </w:tc>
        <w:tc>
          <w:tcPr>
            <w:tcW w:w="970" w:type="pct"/>
          </w:tcPr>
          <w:p w14:paraId="79A1747D" w14:textId="07FF3E66" w:rsidR="00AA4B81" w:rsidRPr="006A756C" w:rsidRDefault="00AA4B81" w:rsidP="006A756C">
            <w:pPr>
              <w:pStyle w:val="TableBody"/>
            </w:pPr>
            <w:r w:rsidRPr="006A756C">
              <w:t xml:space="preserve">Not listed </w:t>
            </w:r>
          </w:p>
        </w:tc>
      </w:tr>
      <w:tr w:rsidR="00AA4B81" w:rsidRPr="00F06DBB" w14:paraId="13EEFFEA" w14:textId="77777777" w:rsidTr="002548A7">
        <w:trPr>
          <w:trHeight w:val="340"/>
        </w:trPr>
        <w:tc>
          <w:tcPr>
            <w:tcW w:w="440" w:type="pct"/>
          </w:tcPr>
          <w:p w14:paraId="6A48569B" w14:textId="6FB42A74" w:rsidR="00AA4B81" w:rsidRPr="006A756C" w:rsidRDefault="00AA4B81" w:rsidP="006A756C">
            <w:pPr>
              <w:pStyle w:val="TableBody"/>
              <w:rPr>
                <w:highlight w:val="yellow"/>
              </w:rPr>
            </w:pPr>
            <w:r w:rsidRPr="006A756C">
              <w:t>B8</w:t>
            </w:r>
          </w:p>
        </w:tc>
        <w:tc>
          <w:tcPr>
            <w:tcW w:w="3590" w:type="pct"/>
          </w:tcPr>
          <w:p w14:paraId="742F73A3" w14:textId="0395E7DA" w:rsidR="00AA4B81" w:rsidRPr="006A756C" w:rsidRDefault="002548A7" w:rsidP="006A756C">
            <w:pPr>
              <w:pStyle w:val="TableBody"/>
              <w:rPr>
                <w:highlight w:val="yellow"/>
              </w:rPr>
            </w:pPr>
            <w:proofErr w:type="spellStart"/>
            <w:r w:rsidRPr="006A756C">
              <w:t>Vicary’s</w:t>
            </w:r>
            <w:proofErr w:type="spellEnd"/>
            <w:r w:rsidRPr="006A756C">
              <w:t xml:space="preserve"> Winery Group, including woolshed, slab horse shed, land area and main house and garden</w:t>
            </w:r>
          </w:p>
        </w:tc>
        <w:tc>
          <w:tcPr>
            <w:tcW w:w="970" w:type="pct"/>
          </w:tcPr>
          <w:p w14:paraId="5B7433AB" w14:textId="24246774" w:rsidR="00AA4B81" w:rsidRPr="006A756C" w:rsidRDefault="00AA4B81" w:rsidP="006A756C">
            <w:pPr>
              <w:pStyle w:val="TableBody"/>
              <w:rPr>
                <w:highlight w:val="yellow"/>
              </w:rPr>
            </w:pPr>
            <w:r w:rsidRPr="006A756C">
              <w:t>Liverpool LEP 2008</w:t>
            </w:r>
          </w:p>
        </w:tc>
      </w:tr>
    </w:tbl>
    <w:p w14:paraId="3999BDD8" w14:textId="0A849B4C" w:rsidR="00AA4B81" w:rsidRDefault="00AA4B81" w:rsidP="003530F0">
      <w:pPr>
        <w:pStyle w:val="Caption"/>
        <w:pageBreakBefore/>
        <w:ind w:left="1134" w:hanging="1134"/>
      </w:pPr>
      <w:bookmarkStart w:id="51" w:name="_Ref401848972"/>
      <w:bookmarkStart w:id="52" w:name="_Toc402442843"/>
      <w:proofErr w:type="gramStart"/>
      <w:r>
        <w:t xml:space="preserve">Table </w:t>
      </w:r>
      <w:fldSimple w:instr=" STYLEREF 1 \s ">
        <w:r w:rsidR="004E469D">
          <w:rPr>
            <w:noProof/>
          </w:rPr>
          <w:t>3</w:t>
        </w:r>
      </w:fldSimple>
      <w:r w:rsidR="00EF76BA">
        <w:t>.</w:t>
      </w:r>
      <w:proofErr w:type="gramEnd"/>
      <w:r w:rsidR="001C525C">
        <w:fldChar w:fldCharType="begin"/>
      </w:r>
      <w:r w:rsidR="001C525C">
        <w:instrText xml:space="preserve"> SEQ Table \* ARABIC \s 1 </w:instrText>
      </w:r>
      <w:r w:rsidR="001C525C">
        <w:fldChar w:fldCharType="separate"/>
      </w:r>
      <w:r w:rsidR="004E469D">
        <w:rPr>
          <w:noProof/>
        </w:rPr>
        <w:t>5</w:t>
      </w:r>
      <w:r w:rsidR="001C525C">
        <w:rPr>
          <w:noProof/>
        </w:rPr>
        <w:fldChar w:fldCharType="end"/>
      </w:r>
      <w:bookmarkEnd w:id="51"/>
      <w:r>
        <w:tab/>
        <w:t xml:space="preserve">Heritage items </w:t>
      </w:r>
      <w:r w:rsidR="003F463C">
        <w:t xml:space="preserve">within </w:t>
      </w:r>
      <w:r>
        <w:t xml:space="preserve">the </w:t>
      </w:r>
      <w:r w:rsidR="003F463C">
        <w:t>vicinity of the Commonwealth land at Badgerys Creek</w:t>
      </w:r>
      <w:bookmarkEnd w:id="52"/>
    </w:p>
    <w:tbl>
      <w:tblPr>
        <w:tblStyle w:val="TableGrid"/>
        <w:tblW w:w="5000" w:type="pct"/>
        <w:tblBorders>
          <w:bottom w:val="single" w:sz="4" w:space="0" w:color="auto"/>
        </w:tblBorders>
        <w:tblLook w:val="04A0" w:firstRow="1" w:lastRow="0" w:firstColumn="1" w:lastColumn="0" w:noHBand="0" w:noVBand="1"/>
        <w:tblCaption w:val="Table 3.5 Heritage items within the vicinity of the Commonwealth land at Badgerys Creek"/>
        <w:tblDescription w:val="Table 3.5 Heritage items within the vicinity of the Commonwealth land at Badgerys Creek"/>
      </w:tblPr>
      <w:tblGrid>
        <w:gridCol w:w="817"/>
        <w:gridCol w:w="6663"/>
        <w:gridCol w:w="1800"/>
      </w:tblGrid>
      <w:tr w:rsidR="00AA4B81" w:rsidRPr="0041025C" w14:paraId="2A904044" w14:textId="77777777" w:rsidTr="006029E2">
        <w:trPr>
          <w:trHeight w:val="340"/>
          <w:tblHeader/>
        </w:trPr>
        <w:tc>
          <w:tcPr>
            <w:tcW w:w="440" w:type="pct"/>
          </w:tcPr>
          <w:p w14:paraId="5A14D7B7" w14:textId="77777777" w:rsidR="00AA4B81" w:rsidRPr="00725CC5" w:rsidRDefault="00AA4B81" w:rsidP="006029E2">
            <w:pPr>
              <w:pStyle w:val="TableHeader"/>
              <w:jc w:val="center"/>
            </w:pPr>
            <w:r>
              <w:t>ID</w:t>
            </w:r>
          </w:p>
        </w:tc>
        <w:tc>
          <w:tcPr>
            <w:tcW w:w="3590" w:type="pct"/>
          </w:tcPr>
          <w:p w14:paraId="6CA475EC" w14:textId="77777777" w:rsidR="00AA4B81" w:rsidRPr="00725CC5" w:rsidRDefault="00AA4B81" w:rsidP="006029E2">
            <w:pPr>
              <w:pStyle w:val="TableHeader"/>
            </w:pPr>
            <w:r>
              <w:t>Item</w:t>
            </w:r>
          </w:p>
        </w:tc>
        <w:tc>
          <w:tcPr>
            <w:tcW w:w="970" w:type="pct"/>
          </w:tcPr>
          <w:p w14:paraId="7C4CD4E5" w14:textId="77777777" w:rsidR="00AA4B81" w:rsidRPr="00725CC5" w:rsidRDefault="00AA4B81" w:rsidP="006029E2">
            <w:pPr>
              <w:pStyle w:val="TableHeader"/>
            </w:pPr>
            <w:r>
              <w:t>Listing</w:t>
            </w:r>
          </w:p>
        </w:tc>
      </w:tr>
      <w:tr w:rsidR="00AA4B81" w:rsidRPr="00F06DBB" w14:paraId="0F517BE7" w14:textId="77777777" w:rsidTr="006029E2">
        <w:trPr>
          <w:trHeight w:val="340"/>
        </w:trPr>
        <w:tc>
          <w:tcPr>
            <w:tcW w:w="440" w:type="pct"/>
            <w:vAlign w:val="center"/>
          </w:tcPr>
          <w:p w14:paraId="6E958275" w14:textId="440B173F" w:rsidR="00AA4B81" w:rsidRPr="00E06D02" w:rsidRDefault="00AA4B81" w:rsidP="006A756C">
            <w:pPr>
              <w:pStyle w:val="TableBody"/>
            </w:pPr>
            <w:r>
              <w:t>B9</w:t>
            </w:r>
          </w:p>
        </w:tc>
        <w:tc>
          <w:tcPr>
            <w:tcW w:w="3590" w:type="pct"/>
            <w:vAlign w:val="center"/>
          </w:tcPr>
          <w:p w14:paraId="78BAC15B" w14:textId="03696735" w:rsidR="00AA4B81" w:rsidRDefault="00AA4B81" w:rsidP="006A756C">
            <w:pPr>
              <w:pStyle w:val="TableBody"/>
            </w:pPr>
            <w:r>
              <w:t>Lawson’s Inn (‘The Thistle’) site</w:t>
            </w:r>
          </w:p>
        </w:tc>
        <w:tc>
          <w:tcPr>
            <w:tcW w:w="970" w:type="pct"/>
          </w:tcPr>
          <w:p w14:paraId="2F98ADD4" w14:textId="5AFDFCE5" w:rsidR="00AA4B81" w:rsidRPr="00E06D02" w:rsidRDefault="00AA4B81" w:rsidP="006A756C">
            <w:pPr>
              <w:pStyle w:val="TableBody"/>
            </w:pPr>
            <w:r w:rsidRPr="00E06D02">
              <w:t>Liverpool LEP 2008</w:t>
            </w:r>
          </w:p>
        </w:tc>
      </w:tr>
      <w:tr w:rsidR="00AA4B81" w:rsidRPr="00F06DBB" w14:paraId="7FC4BB4C" w14:textId="77777777" w:rsidTr="00AA4B81">
        <w:trPr>
          <w:trHeight w:val="340"/>
        </w:trPr>
        <w:tc>
          <w:tcPr>
            <w:tcW w:w="440" w:type="pct"/>
          </w:tcPr>
          <w:p w14:paraId="7AFE39E8" w14:textId="77777777" w:rsidR="00AA4B81" w:rsidRPr="00725CC5" w:rsidRDefault="00AA4B81" w:rsidP="006A756C">
            <w:pPr>
              <w:pStyle w:val="TableBody"/>
            </w:pPr>
            <w:r w:rsidRPr="00E06D02">
              <w:t>B10</w:t>
            </w:r>
          </w:p>
        </w:tc>
        <w:tc>
          <w:tcPr>
            <w:tcW w:w="3590" w:type="pct"/>
          </w:tcPr>
          <w:p w14:paraId="060064E2" w14:textId="77777777" w:rsidR="00AA4B81" w:rsidRPr="00725CC5" w:rsidRDefault="00AA4B81" w:rsidP="006A756C">
            <w:pPr>
              <w:pStyle w:val="TableBody"/>
            </w:pPr>
            <w:r>
              <w:t>‘</w:t>
            </w:r>
            <w:r w:rsidRPr="00E06D02">
              <w:t>St Albans</w:t>
            </w:r>
            <w:r>
              <w:t>’</w:t>
            </w:r>
            <w:r w:rsidRPr="00E06D02">
              <w:t>, 1555 The Northern Road Badgerys Creek</w:t>
            </w:r>
          </w:p>
        </w:tc>
        <w:tc>
          <w:tcPr>
            <w:tcW w:w="970" w:type="pct"/>
          </w:tcPr>
          <w:p w14:paraId="582ADF48" w14:textId="66098AB2" w:rsidR="00AA4B81" w:rsidRPr="00725CC5" w:rsidRDefault="00AA4B81" w:rsidP="006A756C">
            <w:pPr>
              <w:pStyle w:val="TableBody"/>
            </w:pPr>
            <w:r>
              <w:t xml:space="preserve">Not listed </w:t>
            </w:r>
          </w:p>
        </w:tc>
      </w:tr>
      <w:tr w:rsidR="00AA4B81" w:rsidRPr="00F06DBB" w14:paraId="48FBA4C5" w14:textId="77777777" w:rsidTr="00AA4B81">
        <w:trPr>
          <w:trHeight w:val="340"/>
        </w:trPr>
        <w:tc>
          <w:tcPr>
            <w:tcW w:w="440" w:type="pct"/>
          </w:tcPr>
          <w:p w14:paraId="39525343" w14:textId="77777777" w:rsidR="00AA4B81" w:rsidRPr="00725CC5" w:rsidRDefault="00AA4B81" w:rsidP="006A756C">
            <w:pPr>
              <w:pStyle w:val="TableBody"/>
            </w:pPr>
            <w:r w:rsidRPr="00E06D02">
              <w:t>B11</w:t>
            </w:r>
          </w:p>
        </w:tc>
        <w:tc>
          <w:tcPr>
            <w:tcW w:w="3590" w:type="pct"/>
          </w:tcPr>
          <w:p w14:paraId="26510689" w14:textId="77777777" w:rsidR="00AA4B81" w:rsidRPr="00725CC5" w:rsidRDefault="00AA4B81" w:rsidP="006A756C">
            <w:pPr>
              <w:pStyle w:val="TableBody"/>
            </w:pPr>
            <w:r w:rsidRPr="00E06D02">
              <w:t>Federation Cottage, 165 Lawson Street Badgerys Creek</w:t>
            </w:r>
          </w:p>
        </w:tc>
        <w:tc>
          <w:tcPr>
            <w:tcW w:w="970" w:type="pct"/>
          </w:tcPr>
          <w:p w14:paraId="0D747D68" w14:textId="171ABEFC" w:rsidR="00AA4B81" w:rsidRPr="00725CC5" w:rsidRDefault="00AA4B81" w:rsidP="006A756C">
            <w:pPr>
              <w:pStyle w:val="TableBody"/>
            </w:pPr>
            <w:r>
              <w:t xml:space="preserve">Not listed </w:t>
            </w:r>
          </w:p>
        </w:tc>
      </w:tr>
      <w:tr w:rsidR="00AA4B81" w:rsidRPr="00F06DBB" w14:paraId="6AB4D608" w14:textId="77777777" w:rsidTr="006029E2">
        <w:trPr>
          <w:trHeight w:val="340"/>
        </w:trPr>
        <w:tc>
          <w:tcPr>
            <w:tcW w:w="440" w:type="pct"/>
            <w:vAlign w:val="center"/>
          </w:tcPr>
          <w:p w14:paraId="78ECF6ED" w14:textId="77777777" w:rsidR="00AA4B81" w:rsidRDefault="00AA4B81" w:rsidP="006A756C">
            <w:pPr>
              <w:pStyle w:val="TableBody"/>
            </w:pPr>
            <w:r w:rsidRPr="00E06D02">
              <w:t>L1</w:t>
            </w:r>
          </w:p>
        </w:tc>
        <w:tc>
          <w:tcPr>
            <w:tcW w:w="3590" w:type="pct"/>
            <w:vAlign w:val="center"/>
          </w:tcPr>
          <w:p w14:paraId="35C9C860" w14:textId="77777777" w:rsidR="00AA4B81" w:rsidRPr="00725CC5" w:rsidRDefault="00AA4B81" w:rsidP="006A756C">
            <w:pPr>
              <w:pStyle w:val="TableBody"/>
            </w:pPr>
            <w:r w:rsidRPr="00E06D02">
              <w:t>Luddenham Public School, the Northern Road Luddenham</w:t>
            </w:r>
          </w:p>
        </w:tc>
        <w:tc>
          <w:tcPr>
            <w:tcW w:w="970" w:type="pct"/>
          </w:tcPr>
          <w:p w14:paraId="1918E278" w14:textId="77777777" w:rsidR="00AA4B81" w:rsidRPr="00725CC5" w:rsidRDefault="00AA4B81" w:rsidP="006A756C">
            <w:pPr>
              <w:pStyle w:val="TableBody"/>
            </w:pPr>
            <w:r w:rsidRPr="00E06D02">
              <w:t>Liverpool LEP 2008</w:t>
            </w:r>
          </w:p>
        </w:tc>
      </w:tr>
      <w:tr w:rsidR="00AA4B81" w:rsidRPr="00F06DBB" w14:paraId="50C43F4E" w14:textId="77777777" w:rsidTr="006029E2">
        <w:trPr>
          <w:trHeight w:val="340"/>
        </w:trPr>
        <w:tc>
          <w:tcPr>
            <w:tcW w:w="440" w:type="pct"/>
            <w:vAlign w:val="center"/>
          </w:tcPr>
          <w:p w14:paraId="3683D2D7" w14:textId="77777777" w:rsidR="00AA4B81" w:rsidRDefault="00AA4B81" w:rsidP="006A756C">
            <w:pPr>
              <w:pStyle w:val="TableBody"/>
            </w:pPr>
            <w:r w:rsidRPr="00E06D02">
              <w:t>L2</w:t>
            </w:r>
          </w:p>
        </w:tc>
        <w:tc>
          <w:tcPr>
            <w:tcW w:w="3590" w:type="pct"/>
            <w:vAlign w:val="center"/>
          </w:tcPr>
          <w:p w14:paraId="7A3C4517" w14:textId="77777777" w:rsidR="00AA4B81" w:rsidRPr="00725CC5" w:rsidRDefault="00AA4B81" w:rsidP="006A756C">
            <w:pPr>
              <w:pStyle w:val="TableBody"/>
            </w:pPr>
            <w:r w:rsidRPr="00E06D02">
              <w:t>Luddenham Progress Hall 3091–3095 The Northern Road Luddenham</w:t>
            </w:r>
          </w:p>
        </w:tc>
        <w:tc>
          <w:tcPr>
            <w:tcW w:w="970" w:type="pct"/>
          </w:tcPr>
          <w:p w14:paraId="75336C07" w14:textId="77777777" w:rsidR="00AA4B81" w:rsidRPr="00725CC5" w:rsidRDefault="00AA4B81" w:rsidP="006A756C">
            <w:pPr>
              <w:pStyle w:val="TableBody"/>
            </w:pPr>
            <w:r w:rsidRPr="00E06D02">
              <w:t>Penrith LEP 2010</w:t>
            </w:r>
          </w:p>
        </w:tc>
      </w:tr>
      <w:tr w:rsidR="00AA4B81" w:rsidRPr="00F06DBB" w14:paraId="295ADB58" w14:textId="77777777" w:rsidTr="006029E2">
        <w:trPr>
          <w:trHeight w:val="340"/>
        </w:trPr>
        <w:tc>
          <w:tcPr>
            <w:tcW w:w="440" w:type="pct"/>
            <w:vAlign w:val="center"/>
          </w:tcPr>
          <w:p w14:paraId="13BD696E" w14:textId="77777777" w:rsidR="00AA4B81" w:rsidRDefault="00AA4B81" w:rsidP="006A756C">
            <w:pPr>
              <w:pStyle w:val="TableBody"/>
            </w:pPr>
            <w:r w:rsidRPr="00E06D02">
              <w:t>L3</w:t>
            </w:r>
          </w:p>
        </w:tc>
        <w:tc>
          <w:tcPr>
            <w:tcW w:w="3590" w:type="pct"/>
            <w:vAlign w:val="center"/>
          </w:tcPr>
          <w:p w14:paraId="64826F7C" w14:textId="77777777" w:rsidR="00AA4B81" w:rsidRPr="00725CC5" w:rsidRDefault="00AA4B81" w:rsidP="006A756C">
            <w:pPr>
              <w:pStyle w:val="TableBody"/>
            </w:pPr>
            <w:r w:rsidRPr="00E06D02">
              <w:t>Luddenham Uniting Church and Cemetery, 3091–3099 The Northern Road, Luddenham</w:t>
            </w:r>
          </w:p>
        </w:tc>
        <w:tc>
          <w:tcPr>
            <w:tcW w:w="970" w:type="pct"/>
          </w:tcPr>
          <w:p w14:paraId="7AFBCFAB" w14:textId="77777777" w:rsidR="00AA4B81" w:rsidRPr="00725CC5" w:rsidRDefault="00AA4B81" w:rsidP="006A756C">
            <w:pPr>
              <w:pStyle w:val="TableBody"/>
            </w:pPr>
            <w:r w:rsidRPr="00E06D02">
              <w:t>Penrith LEP 2010</w:t>
            </w:r>
          </w:p>
        </w:tc>
      </w:tr>
      <w:tr w:rsidR="00AA4B81" w:rsidRPr="00F06DBB" w14:paraId="0F9B3EF2" w14:textId="77777777" w:rsidTr="006029E2">
        <w:trPr>
          <w:trHeight w:val="340"/>
        </w:trPr>
        <w:tc>
          <w:tcPr>
            <w:tcW w:w="440" w:type="pct"/>
            <w:vAlign w:val="center"/>
          </w:tcPr>
          <w:p w14:paraId="1D9D7AFD" w14:textId="77777777" w:rsidR="00AA4B81" w:rsidRDefault="00AA4B81" w:rsidP="006A756C">
            <w:pPr>
              <w:pStyle w:val="TableBody"/>
            </w:pPr>
            <w:r w:rsidRPr="00E06D02">
              <w:t>L4</w:t>
            </w:r>
          </w:p>
        </w:tc>
        <w:tc>
          <w:tcPr>
            <w:tcW w:w="3590" w:type="pct"/>
            <w:vAlign w:val="center"/>
          </w:tcPr>
          <w:p w14:paraId="3D840258" w14:textId="77777777" w:rsidR="00AA4B81" w:rsidRPr="00725CC5" w:rsidRDefault="00AA4B81" w:rsidP="006A756C">
            <w:pPr>
              <w:pStyle w:val="TableBody"/>
            </w:pPr>
            <w:r w:rsidRPr="00E06D02">
              <w:t>Luddenham Anglican Church and Cemetery (St James), 3101–3125 The Northern Road, Luddenham</w:t>
            </w:r>
          </w:p>
        </w:tc>
        <w:tc>
          <w:tcPr>
            <w:tcW w:w="970" w:type="pct"/>
          </w:tcPr>
          <w:p w14:paraId="0C5AB9EC" w14:textId="77777777" w:rsidR="00AA4B81" w:rsidRPr="00725CC5" w:rsidRDefault="00AA4B81" w:rsidP="006A756C">
            <w:pPr>
              <w:pStyle w:val="TableBody"/>
            </w:pPr>
            <w:r w:rsidRPr="00E06D02">
              <w:t>Penrith LEP 2010</w:t>
            </w:r>
          </w:p>
        </w:tc>
      </w:tr>
      <w:tr w:rsidR="00AA4B81" w:rsidRPr="00F06DBB" w14:paraId="4626BFFE" w14:textId="77777777" w:rsidTr="006029E2">
        <w:trPr>
          <w:trHeight w:val="340"/>
        </w:trPr>
        <w:tc>
          <w:tcPr>
            <w:tcW w:w="440" w:type="pct"/>
            <w:vAlign w:val="center"/>
          </w:tcPr>
          <w:p w14:paraId="51CA83D5" w14:textId="77777777" w:rsidR="00AA4B81" w:rsidRPr="00411B84" w:rsidRDefault="00AA4B81" w:rsidP="006A756C">
            <w:pPr>
              <w:pStyle w:val="TableBody"/>
              <w:rPr>
                <w:highlight w:val="yellow"/>
              </w:rPr>
            </w:pPr>
            <w:r w:rsidRPr="00E06D02">
              <w:t>L5</w:t>
            </w:r>
          </w:p>
        </w:tc>
        <w:tc>
          <w:tcPr>
            <w:tcW w:w="3590" w:type="pct"/>
            <w:vAlign w:val="center"/>
          </w:tcPr>
          <w:p w14:paraId="61306BE0" w14:textId="77777777" w:rsidR="00AA4B81" w:rsidRPr="00411B84" w:rsidRDefault="00AA4B81" w:rsidP="006A756C">
            <w:pPr>
              <w:pStyle w:val="TableBody"/>
              <w:rPr>
                <w:highlight w:val="yellow"/>
              </w:rPr>
            </w:pPr>
            <w:r w:rsidRPr="00E06D02">
              <w:t>Timber Cottage. 29 The Northern Road, Luddenham</w:t>
            </w:r>
          </w:p>
        </w:tc>
        <w:tc>
          <w:tcPr>
            <w:tcW w:w="970" w:type="pct"/>
          </w:tcPr>
          <w:p w14:paraId="19A766FD" w14:textId="77777777" w:rsidR="00AA4B81" w:rsidRPr="00411B84" w:rsidRDefault="00AA4B81" w:rsidP="006A756C">
            <w:pPr>
              <w:pStyle w:val="TableBody"/>
              <w:rPr>
                <w:highlight w:val="yellow"/>
              </w:rPr>
            </w:pPr>
            <w:r w:rsidRPr="00E06D02">
              <w:t>Penrith LEP 2010</w:t>
            </w:r>
          </w:p>
        </w:tc>
      </w:tr>
      <w:tr w:rsidR="00AA4B81" w:rsidRPr="00F06DBB" w14:paraId="798269FE" w14:textId="77777777" w:rsidTr="006029E2">
        <w:trPr>
          <w:trHeight w:val="340"/>
        </w:trPr>
        <w:tc>
          <w:tcPr>
            <w:tcW w:w="440" w:type="pct"/>
            <w:vAlign w:val="center"/>
          </w:tcPr>
          <w:p w14:paraId="57A04312" w14:textId="77777777" w:rsidR="00AA4B81" w:rsidRPr="00E06D02" w:rsidRDefault="00AA4B81" w:rsidP="006A756C">
            <w:pPr>
              <w:pStyle w:val="TableBody"/>
            </w:pPr>
            <w:r w:rsidRPr="00E06D02">
              <w:t>L6</w:t>
            </w:r>
          </w:p>
        </w:tc>
        <w:tc>
          <w:tcPr>
            <w:tcW w:w="3590" w:type="pct"/>
            <w:vAlign w:val="center"/>
          </w:tcPr>
          <w:p w14:paraId="3A39F48A" w14:textId="77777777" w:rsidR="00AA4B81" w:rsidRPr="00E06D02" w:rsidRDefault="00AA4B81" w:rsidP="006A756C">
            <w:pPr>
              <w:pStyle w:val="TableBody"/>
            </w:pPr>
            <w:r w:rsidRPr="00E06D02">
              <w:t>Timber Cottage, 41 The Northern Road, Luddenham</w:t>
            </w:r>
          </w:p>
        </w:tc>
        <w:tc>
          <w:tcPr>
            <w:tcW w:w="970" w:type="pct"/>
          </w:tcPr>
          <w:p w14:paraId="5C67144B" w14:textId="77777777" w:rsidR="00AA4B81" w:rsidRPr="00E06D02" w:rsidRDefault="00AA4B81" w:rsidP="006A756C">
            <w:pPr>
              <w:pStyle w:val="TableBody"/>
            </w:pPr>
            <w:r w:rsidRPr="00E06D02">
              <w:t>Penrith LEP 2010</w:t>
            </w:r>
          </w:p>
        </w:tc>
      </w:tr>
      <w:tr w:rsidR="00AA4B81" w:rsidRPr="00F06DBB" w14:paraId="597459FA" w14:textId="77777777" w:rsidTr="006029E2">
        <w:trPr>
          <w:trHeight w:val="340"/>
        </w:trPr>
        <w:tc>
          <w:tcPr>
            <w:tcW w:w="440" w:type="pct"/>
            <w:vAlign w:val="center"/>
          </w:tcPr>
          <w:p w14:paraId="1B2932EE" w14:textId="77777777" w:rsidR="00AA4B81" w:rsidRPr="00E06D02" w:rsidRDefault="00AA4B81" w:rsidP="006A756C">
            <w:pPr>
              <w:pStyle w:val="TableBody"/>
            </w:pPr>
            <w:r w:rsidRPr="00E06D02">
              <w:t>L7</w:t>
            </w:r>
          </w:p>
        </w:tc>
        <w:tc>
          <w:tcPr>
            <w:tcW w:w="3590" w:type="pct"/>
            <w:vAlign w:val="center"/>
          </w:tcPr>
          <w:p w14:paraId="16939F78" w14:textId="77777777" w:rsidR="00AA4B81" w:rsidRPr="00E06D02" w:rsidRDefault="00AA4B81" w:rsidP="006A756C">
            <w:pPr>
              <w:pStyle w:val="TableBody"/>
            </w:pPr>
            <w:r w:rsidRPr="00E06D02">
              <w:t>Brick cottage, 21–55 Campbell Street, Luddenham</w:t>
            </w:r>
          </w:p>
        </w:tc>
        <w:tc>
          <w:tcPr>
            <w:tcW w:w="970" w:type="pct"/>
          </w:tcPr>
          <w:p w14:paraId="38596B40" w14:textId="77777777" w:rsidR="00AA4B81" w:rsidRPr="00E06D02" w:rsidRDefault="00AA4B81" w:rsidP="006A756C">
            <w:pPr>
              <w:pStyle w:val="TableBody"/>
            </w:pPr>
            <w:r w:rsidRPr="00E06D02">
              <w:t>Penrith LEP 2010</w:t>
            </w:r>
          </w:p>
        </w:tc>
      </w:tr>
      <w:tr w:rsidR="00AA4B81" w:rsidRPr="00F06DBB" w14:paraId="15D1FF30" w14:textId="77777777" w:rsidTr="006029E2">
        <w:trPr>
          <w:trHeight w:val="340"/>
        </w:trPr>
        <w:tc>
          <w:tcPr>
            <w:tcW w:w="440" w:type="pct"/>
            <w:vAlign w:val="center"/>
          </w:tcPr>
          <w:p w14:paraId="5FACC2F4" w14:textId="77777777" w:rsidR="00AA4B81" w:rsidRPr="00E06D02" w:rsidRDefault="00AA4B81" w:rsidP="006A756C">
            <w:pPr>
              <w:pStyle w:val="TableBody"/>
            </w:pPr>
            <w:r w:rsidRPr="00E06D02">
              <w:t>L8</w:t>
            </w:r>
          </w:p>
        </w:tc>
        <w:tc>
          <w:tcPr>
            <w:tcW w:w="3590" w:type="pct"/>
            <w:vAlign w:val="center"/>
          </w:tcPr>
          <w:p w14:paraId="01C00381" w14:textId="77777777" w:rsidR="00AA4B81" w:rsidRPr="00E06D02" w:rsidRDefault="00AA4B81" w:rsidP="006A756C">
            <w:pPr>
              <w:pStyle w:val="TableBody"/>
            </w:pPr>
            <w:r w:rsidRPr="00E06D02">
              <w:t>Brick cottage, 406 Park Street, Luddenham</w:t>
            </w:r>
          </w:p>
        </w:tc>
        <w:tc>
          <w:tcPr>
            <w:tcW w:w="970" w:type="pct"/>
          </w:tcPr>
          <w:p w14:paraId="3E531ED1" w14:textId="77777777" w:rsidR="00AA4B81" w:rsidRPr="00E06D02" w:rsidRDefault="00AA4B81" w:rsidP="006A756C">
            <w:pPr>
              <w:pStyle w:val="TableBody"/>
            </w:pPr>
            <w:r w:rsidRPr="00E06D02">
              <w:t>Penrith LEP 2010</w:t>
            </w:r>
          </w:p>
        </w:tc>
      </w:tr>
      <w:tr w:rsidR="00AA4B81" w:rsidRPr="00F06DBB" w14:paraId="792E3673" w14:textId="77777777" w:rsidTr="006029E2">
        <w:trPr>
          <w:trHeight w:val="340"/>
        </w:trPr>
        <w:tc>
          <w:tcPr>
            <w:tcW w:w="440" w:type="pct"/>
            <w:vAlign w:val="center"/>
          </w:tcPr>
          <w:p w14:paraId="343794F4" w14:textId="77777777" w:rsidR="00AA4B81" w:rsidRPr="00E06D02" w:rsidRDefault="00AA4B81" w:rsidP="006A756C">
            <w:pPr>
              <w:pStyle w:val="TableBody"/>
            </w:pPr>
            <w:r w:rsidRPr="00E06D02">
              <w:t>L9</w:t>
            </w:r>
          </w:p>
        </w:tc>
        <w:tc>
          <w:tcPr>
            <w:tcW w:w="3590" w:type="pct"/>
            <w:vAlign w:val="center"/>
          </w:tcPr>
          <w:p w14:paraId="535A172D" w14:textId="77777777" w:rsidR="00AA4B81" w:rsidRPr="00E06D02" w:rsidRDefault="00AA4B81" w:rsidP="006A756C">
            <w:pPr>
              <w:pStyle w:val="TableBody"/>
            </w:pPr>
            <w:r w:rsidRPr="00E06D02">
              <w:t>Showground, 428-452 Park Street, Luddenham</w:t>
            </w:r>
          </w:p>
        </w:tc>
        <w:tc>
          <w:tcPr>
            <w:tcW w:w="970" w:type="pct"/>
          </w:tcPr>
          <w:p w14:paraId="4237FE93" w14:textId="77777777" w:rsidR="00AA4B81" w:rsidRPr="00E06D02" w:rsidRDefault="00AA4B81" w:rsidP="006A756C">
            <w:pPr>
              <w:pStyle w:val="TableBody"/>
            </w:pPr>
            <w:r w:rsidRPr="00E06D02">
              <w:t>Penrith LEP 2010</w:t>
            </w:r>
          </w:p>
        </w:tc>
      </w:tr>
      <w:tr w:rsidR="00AA4B81" w:rsidRPr="00F06DBB" w14:paraId="27605C0F" w14:textId="77777777" w:rsidTr="006029E2">
        <w:trPr>
          <w:trHeight w:val="340"/>
        </w:trPr>
        <w:tc>
          <w:tcPr>
            <w:tcW w:w="440" w:type="pct"/>
            <w:vAlign w:val="center"/>
          </w:tcPr>
          <w:p w14:paraId="7CEBCCF0" w14:textId="77777777" w:rsidR="00AA4B81" w:rsidRPr="00E06D02" w:rsidRDefault="00AA4B81" w:rsidP="006A756C">
            <w:pPr>
              <w:pStyle w:val="TableBody"/>
            </w:pPr>
            <w:r w:rsidRPr="00E06D02">
              <w:t>L10</w:t>
            </w:r>
          </w:p>
        </w:tc>
        <w:tc>
          <w:tcPr>
            <w:tcW w:w="3590" w:type="pct"/>
            <w:vAlign w:val="center"/>
          </w:tcPr>
          <w:p w14:paraId="7D221A6E" w14:textId="77777777" w:rsidR="00AA4B81" w:rsidRPr="00E06D02" w:rsidRDefault="00AA4B81" w:rsidP="006A756C">
            <w:pPr>
              <w:pStyle w:val="TableBody"/>
            </w:pPr>
            <w:proofErr w:type="spellStart"/>
            <w:r w:rsidRPr="00E06D02">
              <w:t>Willmington</w:t>
            </w:r>
            <w:proofErr w:type="spellEnd"/>
            <w:r w:rsidRPr="00E06D02">
              <w:t xml:space="preserve"> Reserve, 17 Jamison Street, Luddenham</w:t>
            </w:r>
          </w:p>
        </w:tc>
        <w:tc>
          <w:tcPr>
            <w:tcW w:w="970" w:type="pct"/>
          </w:tcPr>
          <w:p w14:paraId="205CE8EC" w14:textId="77777777" w:rsidR="00AA4B81" w:rsidRPr="00E06D02" w:rsidRDefault="00AA4B81" w:rsidP="006A756C">
            <w:pPr>
              <w:pStyle w:val="TableBody"/>
            </w:pPr>
            <w:r w:rsidRPr="00E06D02">
              <w:t>Liverpool LEP 2008</w:t>
            </w:r>
          </w:p>
        </w:tc>
      </w:tr>
      <w:tr w:rsidR="00AA4B81" w:rsidRPr="00F06DBB" w14:paraId="5781D5CE" w14:textId="77777777" w:rsidTr="006029E2">
        <w:trPr>
          <w:trHeight w:val="340"/>
        </w:trPr>
        <w:tc>
          <w:tcPr>
            <w:tcW w:w="440" w:type="pct"/>
            <w:vAlign w:val="center"/>
          </w:tcPr>
          <w:p w14:paraId="36B87960" w14:textId="77777777" w:rsidR="00AA4B81" w:rsidRPr="00E06D02" w:rsidRDefault="00AA4B81" w:rsidP="006A756C">
            <w:pPr>
              <w:pStyle w:val="TableBody"/>
            </w:pPr>
            <w:r w:rsidRPr="00E06D02">
              <w:t>L11</w:t>
            </w:r>
          </w:p>
        </w:tc>
        <w:tc>
          <w:tcPr>
            <w:tcW w:w="3590" w:type="pct"/>
            <w:vAlign w:val="center"/>
          </w:tcPr>
          <w:p w14:paraId="5E152E1E" w14:textId="77777777" w:rsidR="00AA4B81" w:rsidRPr="00E06D02" w:rsidRDefault="00AA4B81" w:rsidP="006A756C">
            <w:pPr>
              <w:pStyle w:val="TableBody"/>
            </w:pPr>
            <w:r w:rsidRPr="00E06D02">
              <w:t>Dairy Shed Adams Road, Luddenham</w:t>
            </w:r>
          </w:p>
        </w:tc>
        <w:tc>
          <w:tcPr>
            <w:tcW w:w="970" w:type="pct"/>
          </w:tcPr>
          <w:p w14:paraId="6D97115C" w14:textId="77777777" w:rsidR="00AA4B81" w:rsidRPr="00E06D02" w:rsidRDefault="00AA4B81" w:rsidP="006A756C">
            <w:pPr>
              <w:pStyle w:val="TableBody"/>
            </w:pPr>
            <w:r w:rsidRPr="00E06D02">
              <w:t>Potential item</w:t>
            </w:r>
          </w:p>
        </w:tc>
      </w:tr>
      <w:tr w:rsidR="00AA4B81" w:rsidRPr="00F06DBB" w14:paraId="2BC4DBFB" w14:textId="77777777" w:rsidTr="006029E2">
        <w:trPr>
          <w:trHeight w:val="340"/>
        </w:trPr>
        <w:tc>
          <w:tcPr>
            <w:tcW w:w="440" w:type="pct"/>
            <w:vAlign w:val="center"/>
          </w:tcPr>
          <w:p w14:paraId="2AF42285" w14:textId="77777777" w:rsidR="00AA4B81" w:rsidRPr="00E06D02" w:rsidRDefault="00AA4B81" w:rsidP="006A756C">
            <w:pPr>
              <w:pStyle w:val="TableBody"/>
            </w:pPr>
            <w:r w:rsidRPr="00E06D02">
              <w:t>Br1</w:t>
            </w:r>
          </w:p>
        </w:tc>
        <w:tc>
          <w:tcPr>
            <w:tcW w:w="3590" w:type="pct"/>
            <w:vAlign w:val="center"/>
          </w:tcPr>
          <w:p w14:paraId="72DD0442" w14:textId="77777777" w:rsidR="00AA4B81" w:rsidRPr="00E06D02" w:rsidRDefault="00AA4B81" w:rsidP="006A756C">
            <w:pPr>
              <w:pStyle w:val="TableBody"/>
            </w:pPr>
            <w:r w:rsidRPr="00E06D02">
              <w:t>Former OTC Group, including radio receiving station and site of former staff housing, Badgerys Creek Road, Bringelly</w:t>
            </w:r>
          </w:p>
        </w:tc>
        <w:tc>
          <w:tcPr>
            <w:tcW w:w="970" w:type="pct"/>
          </w:tcPr>
          <w:p w14:paraId="23F93DCE" w14:textId="77777777" w:rsidR="00AA4B81" w:rsidRPr="00E06D02" w:rsidRDefault="00AA4B81" w:rsidP="006A756C">
            <w:pPr>
              <w:pStyle w:val="TableBody"/>
            </w:pPr>
            <w:r w:rsidRPr="00E06D02">
              <w:t>Liverpool LEP 2008</w:t>
            </w:r>
          </w:p>
        </w:tc>
      </w:tr>
      <w:tr w:rsidR="00AA4B81" w:rsidRPr="00F06DBB" w14:paraId="5F3D37E4" w14:textId="77777777" w:rsidTr="006029E2">
        <w:trPr>
          <w:trHeight w:val="340"/>
        </w:trPr>
        <w:tc>
          <w:tcPr>
            <w:tcW w:w="440" w:type="pct"/>
            <w:vAlign w:val="center"/>
          </w:tcPr>
          <w:p w14:paraId="3A380559" w14:textId="77777777" w:rsidR="00AA4B81" w:rsidRPr="00E06D02" w:rsidRDefault="00AA4B81" w:rsidP="006A756C">
            <w:pPr>
              <w:pStyle w:val="TableBody"/>
            </w:pPr>
            <w:r w:rsidRPr="00E06D02">
              <w:t>Br2</w:t>
            </w:r>
          </w:p>
        </w:tc>
        <w:tc>
          <w:tcPr>
            <w:tcW w:w="3590" w:type="pct"/>
            <w:vAlign w:val="center"/>
          </w:tcPr>
          <w:p w14:paraId="12320705" w14:textId="77777777" w:rsidR="00AA4B81" w:rsidRPr="00E06D02" w:rsidRDefault="00AA4B81" w:rsidP="006A756C">
            <w:pPr>
              <w:pStyle w:val="TableBody"/>
            </w:pPr>
            <w:r w:rsidRPr="00E06D02">
              <w:t>Two water tanks, Badgerys Creek Road, Bringelly</w:t>
            </w:r>
          </w:p>
        </w:tc>
        <w:tc>
          <w:tcPr>
            <w:tcW w:w="970" w:type="pct"/>
          </w:tcPr>
          <w:p w14:paraId="2443FC92" w14:textId="77777777" w:rsidR="00AA4B81" w:rsidRPr="00E06D02" w:rsidRDefault="00AA4B81" w:rsidP="006A756C">
            <w:pPr>
              <w:pStyle w:val="TableBody"/>
            </w:pPr>
            <w:r w:rsidRPr="00E06D02">
              <w:t>Liverpool LEP 2008</w:t>
            </w:r>
          </w:p>
        </w:tc>
      </w:tr>
      <w:tr w:rsidR="00AA4B81" w:rsidRPr="00F06DBB" w14:paraId="3FD77197" w14:textId="77777777" w:rsidTr="006029E2">
        <w:trPr>
          <w:trHeight w:val="340"/>
        </w:trPr>
        <w:tc>
          <w:tcPr>
            <w:tcW w:w="440" w:type="pct"/>
            <w:vAlign w:val="center"/>
          </w:tcPr>
          <w:p w14:paraId="4A961146" w14:textId="77777777" w:rsidR="00AA4B81" w:rsidRPr="00E06D02" w:rsidRDefault="00AA4B81" w:rsidP="006A756C">
            <w:pPr>
              <w:pStyle w:val="TableBody"/>
            </w:pPr>
            <w:r w:rsidRPr="00E06D02">
              <w:t>Br3</w:t>
            </w:r>
          </w:p>
        </w:tc>
        <w:tc>
          <w:tcPr>
            <w:tcW w:w="3590" w:type="pct"/>
            <w:vAlign w:val="center"/>
          </w:tcPr>
          <w:p w14:paraId="7A219666" w14:textId="77777777" w:rsidR="00AA4B81" w:rsidRPr="00E06D02" w:rsidRDefault="00AA4B81" w:rsidP="006A756C">
            <w:pPr>
              <w:pStyle w:val="TableBody"/>
            </w:pPr>
            <w:r w:rsidRPr="00E06D02">
              <w:t>Dwelling and Rural Lot (Mount Pleasant), 3 Shannon Road, Bringelly</w:t>
            </w:r>
          </w:p>
        </w:tc>
        <w:tc>
          <w:tcPr>
            <w:tcW w:w="970" w:type="pct"/>
          </w:tcPr>
          <w:p w14:paraId="7593BD70" w14:textId="77777777" w:rsidR="00AA4B81" w:rsidRPr="00E06D02" w:rsidRDefault="00AA4B81" w:rsidP="006A756C">
            <w:pPr>
              <w:pStyle w:val="TableBody"/>
            </w:pPr>
            <w:r w:rsidRPr="00E06D02">
              <w:t>Liverpool LEP 2008</w:t>
            </w:r>
          </w:p>
        </w:tc>
      </w:tr>
      <w:tr w:rsidR="00AA4B81" w:rsidRPr="00F06DBB" w14:paraId="6553F890" w14:textId="77777777" w:rsidTr="006029E2">
        <w:trPr>
          <w:trHeight w:val="340"/>
        </w:trPr>
        <w:tc>
          <w:tcPr>
            <w:tcW w:w="440" w:type="pct"/>
            <w:vAlign w:val="center"/>
          </w:tcPr>
          <w:p w14:paraId="472D8A18" w14:textId="77777777" w:rsidR="00AA4B81" w:rsidRPr="00E06D02" w:rsidRDefault="00AA4B81" w:rsidP="006A756C">
            <w:pPr>
              <w:pStyle w:val="TableBody"/>
            </w:pPr>
            <w:r w:rsidRPr="00E06D02">
              <w:t>Br4</w:t>
            </w:r>
          </w:p>
        </w:tc>
        <w:tc>
          <w:tcPr>
            <w:tcW w:w="3590" w:type="pct"/>
            <w:vAlign w:val="center"/>
          </w:tcPr>
          <w:p w14:paraId="39178533" w14:textId="77777777" w:rsidR="00AA4B81" w:rsidRPr="00E06D02" w:rsidRDefault="00AA4B81" w:rsidP="006A756C">
            <w:pPr>
              <w:pStyle w:val="TableBody"/>
            </w:pPr>
            <w:r w:rsidRPr="00E06D02">
              <w:t>Evergreen House, 141 Derwent Road, Bringelly</w:t>
            </w:r>
          </w:p>
        </w:tc>
        <w:tc>
          <w:tcPr>
            <w:tcW w:w="970" w:type="pct"/>
          </w:tcPr>
          <w:p w14:paraId="565DBE22" w14:textId="77777777" w:rsidR="00AA4B81" w:rsidRPr="00E06D02" w:rsidRDefault="00AA4B81" w:rsidP="006A756C">
            <w:pPr>
              <w:pStyle w:val="TableBody"/>
            </w:pPr>
            <w:r w:rsidRPr="00E06D02">
              <w:t>Liverpool LEP 2008</w:t>
            </w:r>
          </w:p>
        </w:tc>
      </w:tr>
      <w:tr w:rsidR="00AA4B81" w:rsidRPr="00F06DBB" w14:paraId="7A81DA8B" w14:textId="77777777" w:rsidTr="006029E2">
        <w:trPr>
          <w:trHeight w:val="340"/>
        </w:trPr>
        <w:tc>
          <w:tcPr>
            <w:tcW w:w="440" w:type="pct"/>
            <w:vAlign w:val="center"/>
          </w:tcPr>
          <w:p w14:paraId="6173A0D3" w14:textId="77777777" w:rsidR="00AA4B81" w:rsidRPr="00E06D02" w:rsidRDefault="00AA4B81" w:rsidP="006A756C">
            <w:pPr>
              <w:pStyle w:val="TableBody"/>
            </w:pPr>
            <w:r w:rsidRPr="00E06D02">
              <w:t>Br5</w:t>
            </w:r>
          </w:p>
        </w:tc>
        <w:tc>
          <w:tcPr>
            <w:tcW w:w="3590" w:type="pct"/>
            <w:vAlign w:val="center"/>
          </w:tcPr>
          <w:p w14:paraId="2BEDA9CD" w14:textId="77777777" w:rsidR="00AA4B81" w:rsidRPr="00E06D02" w:rsidRDefault="00AA4B81" w:rsidP="006A756C">
            <w:pPr>
              <w:pStyle w:val="TableBody"/>
            </w:pPr>
            <w:r w:rsidRPr="00E06D02">
              <w:t>Kelvin Park Group, including site landscaping, homestead, kitchen wing, servant’s quarters, coach house, 2 slab barns and other works and relics, 30 The Retreat, Bringelly</w:t>
            </w:r>
          </w:p>
        </w:tc>
        <w:tc>
          <w:tcPr>
            <w:tcW w:w="970" w:type="pct"/>
          </w:tcPr>
          <w:p w14:paraId="5797ED92" w14:textId="77777777" w:rsidR="00AA4B81" w:rsidRPr="00E06D02" w:rsidRDefault="00AA4B81" w:rsidP="006A756C">
            <w:pPr>
              <w:pStyle w:val="TableBody"/>
            </w:pPr>
            <w:r w:rsidRPr="00E06D02">
              <w:t>Liverpool LEP 2008</w:t>
            </w:r>
          </w:p>
        </w:tc>
      </w:tr>
      <w:tr w:rsidR="00AA4B81" w:rsidRPr="00F06DBB" w14:paraId="21631A1F" w14:textId="77777777" w:rsidTr="006029E2">
        <w:trPr>
          <w:trHeight w:val="340"/>
        </w:trPr>
        <w:tc>
          <w:tcPr>
            <w:tcW w:w="440" w:type="pct"/>
            <w:vAlign w:val="center"/>
          </w:tcPr>
          <w:p w14:paraId="62AA04E6" w14:textId="77777777" w:rsidR="00AA4B81" w:rsidRPr="00E06D02" w:rsidRDefault="00AA4B81" w:rsidP="006A756C">
            <w:pPr>
              <w:pStyle w:val="TableBody"/>
            </w:pPr>
            <w:r w:rsidRPr="00E06D02">
              <w:t>Br6</w:t>
            </w:r>
          </w:p>
        </w:tc>
        <w:tc>
          <w:tcPr>
            <w:tcW w:w="3590" w:type="pct"/>
            <w:vAlign w:val="center"/>
          </w:tcPr>
          <w:p w14:paraId="2F8AD5E1" w14:textId="77777777" w:rsidR="00AA4B81" w:rsidRPr="00E06D02" w:rsidRDefault="00AA4B81" w:rsidP="006A756C">
            <w:pPr>
              <w:pStyle w:val="TableBody"/>
            </w:pPr>
            <w:r w:rsidRPr="00E06D02">
              <w:t>Bringelly Public School Group, including schoolhouse and former headmaster’s residence, 1205 The Northern Road, Bringelly</w:t>
            </w:r>
          </w:p>
        </w:tc>
        <w:tc>
          <w:tcPr>
            <w:tcW w:w="970" w:type="pct"/>
          </w:tcPr>
          <w:p w14:paraId="7C3BE8E9" w14:textId="77777777" w:rsidR="00AA4B81" w:rsidRPr="00E06D02" w:rsidRDefault="00AA4B81" w:rsidP="006A756C">
            <w:pPr>
              <w:pStyle w:val="TableBody"/>
            </w:pPr>
            <w:r w:rsidRPr="00E06D02">
              <w:t>Liverpool LEP 2008</w:t>
            </w:r>
          </w:p>
        </w:tc>
      </w:tr>
    </w:tbl>
    <w:p w14:paraId="78A5304C" w14:textId="77777777" w:rsidR="00AA4B81" w:rsidRDefault="00AA4B81" w:rsidP="00954EF4">
      <w:pPr>
        <w:pStyle w:val="BodyText"/>
      </w:pPr>
    </w:p>
    <w:p w14:paraId="427617BC" w14:textId="5047A51C" w:rsidR="003F463C" w:rsidRDefault="003F463C" w:rsidP="003F463C">
      <w:pPr>
        <w:pStyle w:val="BodyText"/>
      </w:pPr>
      <w:r>
        <w:br w:type="page"/>
      </w:r>
    </w:p>
    <w:p w14:paraId="67960EB1" w14:textId="3CD1F81E" w:rsidR="003F463C" w:rsidRDefault="006950C5" w:rsidP="003F2F7F">
      <w:pPr>
        <w:pStyle w:val="BodyText"/>
        <w:ind w:left="-142"/>
        <w:jc w:val="center"/>
      </w:pPr>
      <w:r>
        <w:rPr>
          <w:noProof/>
          <w:lang w:eastAsia="en-AU"/>
        </w:rPr>
        <w:drawing>
          <wp:inline distT="0" distB="0" distL="0" distR="0" wp14:anchorId="5E28663F" wp14:editId="464324E7">
            <wp:extent cx="5715000" cy="8407052"/>
            <wp:effectExtent l="0" t="0" r="0" b="0"/>
            <wp:docPr id="11" name="Picture 11" descr="Figure 3.1 Listed and potential historic heritage items within and in proximity to the Commonwealth land at Badgerys Creek" title="Figure 3.1 Listed and potential historic heritage items within and in proximity to the Commonwealth land at Badgerys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_1 Historic sites.jpg"/>
                    <pic:cNvPicPr/>
                  </pic:nvPicPr>
                  <pic:blipFill rotWithShape="1">
                    <a:blip r:embed="rId27">
                      <a:extLst>
                        <a:ext uri="{28A0092B-C50C-407E-A947-70E740481C1C}">
                          <a14:useLocalDpi xmlns:a14="http://schemas.microsoft.com/office/drawing/2010/main" val="0"/>
                        </a:ext>
                      </a:extLst>
                    </a:blip>
                    <a:srcRect/>
                    <a:stretch/>
                  </pic:blipFill>
                  <pic:spPr bwMode="auto">
                    <a:xfrm>
                      <a:off x="0" y="0"/>
                      <a:ext cx="5717524" cy="8410764"/>
                    </a:xfrm>
                    <a:prstGeom prst="rect">
                      <a:avLst/>
                    </a:prstGeom>
                    <a:ln>
                      <a:noFill/>
                    </a:ln>
                    <a:extLst>
                      <a:ext uri="{53640926-AAD7-44D8-BBD7-CCE9431645EC}">
                        <a14:shadowObscured xmlns:a14="http://schemas.microsoft.com/office/drawing/2010/main"/>
                      </a:ext>
                    </a:extLst>
                  </pic:spPr>
                </pic:pic>
              </a:graphicData>
            </a:graphic>
          </wp:inline>
        </w:drawing>
      </w:r>
    </w:p>
    <w:p w14:paraId="16904D64" w14:textId="099E0ACE" w:rsidR="003F463C" w:rsidRDefault="003F463C" w:rsidP="00AB7255">
      <w:pPr>
        <w:pStyle w:val="Caption"/>
        <w:ind w:left="1134" w:hanging="1134"/>
      </w:pPr>
      <w:bookmarkStart w:id="53" w:name="_Ref400716972"/>
      <w:bookmarkStart w:id="54" w:name="_Toc402441360"/>
      <w:proofErr w:type="gramStart"/>
      <w:r>
        <w:t xml:space="preserve">Figure </w:t>
      </w:r>
      <w:fldSimple w:instr=" STYLEREF 1 \s ">
        <w:r w:rsidR="004E469D">
          <w:rPr>
            <w:noProof/>
          </w:rPr>
          <w:t>3</w:t>
        </w:r>
      </w:fldSimple>
      <w:r w:rsidR="00500FAE">
        <w:t>.</w:t>
      </w:r>
      <w:proofErr w:type="gramEnd"/>
      <w:r w:rsidR="001C525C">
        <w:fldChar w:fldCharType="begin"/>
      </w:r>
      <w:r w:rsidR="001C525C">
        <w:instrText xml:space="preserve"> SEQ Figure \* ARABIC \s 1 </w:instrText>
      </w:r>
      <w:r w:rsidR="001C525C">
        <w:fldChar w:fldCharType="separate"/>
      </w:r>
      <w:r w:rsidR="004E469D">
        <w:rPr>
          <w:noProof/>
        </w:rPr>
        <w:t>1</w:t>
      </w:r>
      <w:r w:rsidR="001C525C">
        <w:rPr>
          <w:noProof/>
        </w:rPr>
        <w:fldChar w:fldCharType="end"/>
      </w:r>
      <w:bookmarkEnd w:id="53"/>
      <w:r>
        <w:tab/>
        <w:t>Listed and potential historic heritage items within and in proximity to the Commonwealth land at Badgerys Creek</w:t>
      </w:r>
      <w:bookmarkEnd w:id="54"/>
    </w:p>
    <w:p w14:paraId="38ED187F" w14:textId="638A096D" w:rsidR="004354A6" w:rsidRDefault="004354A6" w:rsidP="005613AC">
      <w:pPr>
        <w:pStyle w:val="Subheading"/>
      </w:pPr>
      <w:r>
        <w:t>Information gaps</w:t>
      </w:r>
    </w:p>
    <w:p w14:paraId="7AD19780" w14:textId="215602A1" w:rsidR="004354A6" w:rsidRDefault="00183087" w:rsidP="00FA4942">
      <w:pPr>
        <w:pStyle w:val="ListBullet"/>
      </w:pPr>
      <w:r>
        <w:t>f</w:t>
      </w:r>
      <w:r w:rsidR="00FA4942">
        <w:t xml:space="preserve">ull appreciation of the heritage values of the </w:t>
      </w:r>
      <w:r w:rsidR="008F1D4C">
        <w:t>eight</w:t>
      </w:r>
      <w:r w:rsidR="00FA4942">
        <w:t xml:space="preserve"> historic heritage places</w:t>
      </w:r>
      <w:r>
        <w:t xml:space="preserve"> with reference to CHL criteria</w:t>
      </w:r>
    </w:p>
    <w:p w14:paraId="4E9B28E8" w14:textId="1285F26C" w:rsidR="00FA4942" w:rsidRDefault="00183087" w:rsidP="00FA4942">
      <w:pPr>
        <w:pStyle w:val="ListBullet"/>
      </w:pPr>
      <w:r>
        <w:t>i</w:t>
      </w:r>
      <w:r w:rsidR="00FA4942">
        <w:t>ncomplete understanding of the heritage values of the three identified built heritage places within the study area and options for p</w:t>
      </w:r>
      <w:r>
        <w:t>otential retention of buildings</w:t>
      </w:r>
    </w:p>
    <w:p w14:paraId="717DAE39" w14:textId="30CDB41D" w:rsidR="00FA4942" w:rsidRDefault="00183087" w:rsidP="00FA4942">
      <w:pPr>
        <w:pStyle w:val="ListBullet"/>
      </w:pPr>
      <w:r>
        <w:t>r</w:t>
      </w:r>
      <w:r w:rsidR="00FA4942">
        <w:t xml:space="preserve">esearch potential and heritage values of the </w:t>
      </w:r>
      <w:r w:rsidR="008F1D4C">
        <w:t>three</w:t>
      </w:r>
      <w:r w:rsidR="00FA4942">
        <w:t xml:space="preserve"> identified archaeologi</w:t>
      </w:r>
      <w:r>
        <w:t>cal sites within the study area</w:t>
      </w:r>
    </w:p>
    <w:p w14:paraId="55AE01C2" w14:textId="79B0EC98" w:rsidR="004354A6" w:rsidRDefault="00183087" w:rsidP="009836E4">
      <w:pPr>
        <w:pStyle w:val="ListBullet"/>
      </w:pPr>
      <w:proofErr w:type="gramStart"/>
      <w:r>
        <w:t>o</w:t>
      </w:r>
      <w:r w:rsidR="00E628B8">
        <w:t>ptions</w:t>
      </w:r>
      <w:proofErr w:type="gramEnd"/>
      <w:r w:rsidR="00E628B8">
        <w:t xml:space="preserve"> for management of heritage values associated with the two former church sites and associated cemeteries.</w:t>
      </w:r>
    </w:p>
    <w:p w14:paraId="5A12A8EE" w14:textId="77777777" w:rsidR="009836E4" w:rsidRDefault="009836E4" w:rsidP="009836E4">
      <w:pPr>
        <w:pStyle w:val="Heading2"/>
      </w:pPr>
      <w:bookmarkStart w:id="55" w:name="_Toc400720082"/>
      <w:bookmarkStart w:id="56" w:name="_Ref401920061"/>
      <w:r>
        <w:t>Recommendations</w:t>
      </w:r>
      <w:bookmarkEnd w:id="55"/>
      <w:bookmarkEnd w:id="56"/>
    </w:p>
    <w:p w14:paraId="1D24459A" w14:textId="3C7F467C" w:rsidR="00B36933" w:rsidRDefault="00B36933" w:rsidP="00B36933">
      <w:pPr>
        <w:pStyle w:val="BodyText"/>
      </w:pPr>
      <w:r>
        <w:t xml:space="preserve">The aim of the current investigation has been to review the current Badgerys Creek historic heritage environment and to identify where there may be gaps in the current understanding. </w:t>
      </w:r>
      <w:r w:rsidR="003F463C">
        <w:t>As noted, t</w:t>
      </w:r>
      <w:r>
        <w:t xml:space="preserve">he historic heritage environment has remained largely unchanged since the preparation of the </w:t>
      </w:r>
      <w:r w:rsidR="00B444F0">
        <w:t>Draft EIS</w:t>
      </w:r>
      <w:r>
        <w:t xml:space="preserve"> and </w:t>
      </w:r>
      <w:r w:rsidR="003F463C">
        <w:t>the current</w:t>
      </w:r>
      <w:r>
        <w:t xml:space="preserve"> </w:t>
      </w:r>
      <w:r w:rsidR="003F463C">
        <w:t>investigation</w:t>
      </w:r>
      <w:r>
        <w:t xml:space="preserve"> has affirmed the previously identified historic heritage items and places.</w:t>
      </w:r>
    </w:p>
    <w:p w14:paraId="18E79871" w14:textId="2A01A59C" w:rsidR="009836E4" w:rsidRDefault="00B36933" w:rsidP="00B36933">
      <w:pPr>
        <w:pStyle w:val="BodyText"/>
      </w:pPr>
      <w:r>
        <w:t xml:space="preserve">The historic heritage of the Commonwealth land at Badgerys Creek is embodied in the physical evidence of past activities within the local environment since it was first settled by Europeans, and is demonstrated in the existing built and archaeological heritage of the place. Each of the items and places </w:t>
      </w:r>
      <w:r w:rsidR="008415E2">
        <w:t>are</w:t>
      </w:r>
      <w:r>
        <w:t xml:space="preserve"> likely to be affected by </w:t>
      </w:r>
      <w:r w:rsidR="005C6016">
        <w:t xml:space="preserve">any future </w:t>
      </w:r>
      <w:r>
        <w:t xml:space="preserve">development </w:t>
      </w:r>
      <w:r w:rsidR="005C6016">
        <w:t xml:space="preserve">of the site </w:t>
      </w:r>
      <w:r>
        <w:t>to some degree, and as such a thorough investigation of the historic heritage context of each should be completed to inform their appropriate management.</w:t>
      </w:r>
    </w:p>
    <w:p w14:paraId="20A6E259" w14:textId="2962C666" w:rsidR="003F463C" w:rsidRDefault="003F463C" w:rsidP="00B36933">
      <w:pPr>
        <w:pStyle w:val="BodyText"/>
      </w:pPr>
      <w:r w:rsidRPr="003F463C">
        <w:t xml:space="preserve">As </w:t>
      </w:r>
      <w:r>
        <w:t>previously noted,</w:t>
      </w:r>
      <w:r w:rsidRPr="003F463C">
        <w:t xml:space="preserve"> above, assessment and identification of heritage values is the first step in managing Commonwealth heritage places. </w:t>
      </w:r>
      <w:r w:rsidR="005A7572">
        <w:t>The Department’s h</w:t>
      </w:r>
      <w:r w:rsidRPr="003F463C">
        <w:t xml:space="preserve">eritage </w:t>
      </w:r>
      <w:r w:rsidR="005A7572">
        <w:t>s</w:t>
      </w:r>
      <w:r w:rsidRPr="003F463C">
        <w:t xml:space="preserve">trategy makes reference to Badgerys Creek as not requiring further assessments; however at that time Badgerys Creek was not under consideration for future development. </w:t>
      </w:r>
      <w:r w:rsidR="005A7572">
        <w:t>Given recent public announcements by the Australian Government</w:t>
      </w:r>
      <w:r w:rsidRPr="003F463C">
        <w:t>, assessment of the heritage values of the eight listed and potential heritage items is recommended. Th</w:t>
      </w:r>
      <w:r w:rsidR="005A7572">
        <w:t>is</w:t>
      </w:r>
      <w:r w:rsidRPr="003F463C">
        <w:t xml:space="preserve"> </w:t>
      </w:r>
      <w:r w:rsidR="005A7572">
        <w:t>would</w:t>
      </w:r>
      <w:r w:rsidRPr="003F463C">
        <w:t xml:space="preserve"> contribute to an </w:t>
      </w:r>
      <w:r w:rsidR="005A7572">
        <w:t xml:space="preserve">improved </w:t>
      </w:r>
      <w:r w:rsidRPr="003F463C">
        <w:t xml:space="preserve">understanding of the </w:t>
      </w:r>
      <w:r w:rsidR="005A7572">
        <w:t xml:space="preserve">historic heritage values of the Commonwealth land </w:t>
      </w:r>
      <w:r w:rsidRPr="003F463C">
        <w:t xml:space="preserve">and </w:t>
      </w:r>
      <w:r w:rsidR="005A7572">
        <w:t>provide guidance on</w:t>
      </w:r>
      <w:r w:rsidRPr="003F463C">
        <w:t xml:space="preserve"> whether place</w:t>
      </w:r>
      <w:r w:rsidR="005A7572">
        <w:t>s</w:t>
      </w:r>
      <w:r w:rsidRPr="003F463C">
        <w:t xml:space="preserve"> warrant inclusion on the CHL. Listing on the CHL requires that places are managed appropriately in accordance with a heritage management strategy prepared to guide the management and conservation the heritage values for present and future generations.</w:t>
      </w:r>
    </w:p>
    <w:p w14:paraId="18F89310" w14:textId="17D294D3" w:rsidR="000C543E" w:rsidRDefault="000C543E" w:rsidP="00B36933">
      <w:pPr>
        <w:pStyle w:val="BodyText"/>
      </w:pPr>
      <w:r w:rsidRPr="000C543E">
        <w:t xml:space="preserve">The </w:t>
      </w:r>
      <w:r>
        <w:t>following recommendations</w:t>
      </w:r>
      <w:r w:rsidRPr="000C543E">
        <w:t xml:space="preserve"> </w:t>
      </w:r>
      <w:r>
        <w:t xml:space="preserve">are provided in the context of the </w:t>
      </w:r>
      <w:r w:rsidR="007E62F8">
        <w:t>preceding</w:t>
      </w:r>
      <w:r>
        <w:t xml:space="preserve"> discussion and </w:t>
      </w:r>
      <w:r w:rsidRPr="000C543E">
        <w:t xml:space="preserve">should </w:t>
      </w:r>
      <w:r>
        <w:t xml:space="preserve">also </w:t>
      </w:r>
      <w:r w:rsidRPr="000C543E">
        <w:t>be considered in the context of ‘reasonable and feasible’ to the extent that land use permits.</w:t>
      </w:r>
    </w:p>
    <w:p w14:paraId="76A351E2" w14:textId="77777777" w:rsidR="00E628B8" w:rsidRDefault="00E628B8" w:rsidP="005613AC">
      <w:pPr>
        <w:pStyle w:val="Subheading"/>
      </w:pPr>
      <w:r>
        <w:t>Heritage values</w:t>
      </w:r>
    </w:p>
    <w:p w14:paraId="3256077C" w14:textId="375A7E34" w:rsidR="00B36933" w:rsidRDefault="00C30C4F" w:rsidP="00C30C4F">
      <w:pPr>
        <w:pStyle w:val="ListBullet"/>
      </w:pPr>
      <w:r w:rsidRPr="00C30C4F">
        <w:t>Additional research into the historic and current environment of the eight historic heritage places within the footprint of the Badgerys Creek study area should be undertaken to inform any future environmental assessment process, consistent with relevant legislative requirements and best practice heritage assessment methods</w:t>
      </w:r>
      <w:r w:rsidR="00B36933">
        <w:t>.</w:t>
      </w:r>
    </w:p>
    <w:p w14:paraId="57EDB8CA" w14:textId="55D6F965" w:rsidR="00E628B8" w:rsidRDefault="00E628B8" w:rsidP="005613AC">
      <w:pPr>
        <w:pStyle w:val="Subheading"/>
      </w:pPr>
      <w:r>
        <w:t>Built heritage places</w:t>
      </w:r>
    </w:p>
    <w:p w14:paraId="332A73A1" w14:textId="73116C04" w:rsidR="00E628B8" w:rsidRDefault="00E628B8" w:rsidP="005416D7">
      <w:pPr>
        <w:pStyle w:val="BodyText"/>
      </w:pPr>
      <w:r>
        <w:t>The following recommendations relate to the three identified built heritage places (</w:t>
      </w:r>
      <w:r w:rsidR="005416D7">
        <w:t xml:space="preserve">The Badgerys Creek Public School, The Farm Cottage complex and associated out-buildings, </w:t>
      </w:r>
      <w:proofErr w:type="spellStart"/>
      <w:r w:rsidR="005416D7">
        <w:t>Vicary’s</w:t>
      </w:r>
      <w:proofErr w:type="spellEnd"/>
      <w:r w:rsidR="005416D7">
        <w:t xml:space="preserve"> Vineyard complex</w:t>
      </w:r>
      <w:r>
        <w:t>) within the study area.</w:t>
      </w:r>
    </w:p>
    <w:p w14:paraId="370FFBF9" w14:textId="57D40B01" w:rsidR="00E628B8" w:rsidRDefault="00E628B8" w:rsidP="00E628B8">
      <w:pPr>
        <w:pStyle w:val="ListBullet"/>
      </w:pPr>
      <w:r>
        <w:t>Options for the possible retention or relocation of original buildings associated with each of the three built heritage places should be explored.</w:t>
      </w:r>
    </w:p>
    <w:p w14:paraId="7B42595E" w14:textId="140D1832" w:rsidR="00E628B8" w:rsidRDefault="00E628B8" w:rsidP="00E628B8">
      <w:pPr>
        <w:pStyle w:val="ListBullet"/>
      </w:pPr>
      <w:r>
        <w:t>The archaeological research potential of the three built heritage places should be investigated to determine the likelihood of archaeological resources and relics to be present which could enhance an understanding of the local historic environment.</w:t>
      </w:r>
    </w:p>
    <w:p w14:paraId="3B6B6A27" w14:textId="40FD930B" w:rsidR="00E628B8" w:rsidRDefault="00E628B8" w:rsidP="00E628B8">
      <w:pPr>
        <w:pStyle w:val="ListBullet"/>
      </w:pPr>
      <w:r>
        <w:t>Archival photographic recording should be prepared for the original buildings within the context of their landscape setting, local environment and associations with other buildings and features. The recording will ensure that the history and environment of each structure can be retained for future reference and research.</w:t>
      </w:r>
    </w:p>
    <w:p w14:paraId="684324EE" w14:textId="01999E05" w:rsidR="00E628B8" w:rsidRDefault="00E628B8" w:rsidP="00E628B8">
      <w:pPr>
        <w:pStyle w:val="ListBullet"/>
      </w:pPr>
      <w:r>
        <w:t>Dismantling or demolition of timber slab cottages and huts should be monitored to ensure that the technologies used in constructing the buildings are recorded for future reference and research.</w:t>
      </w:r>
    </w:p>
    <w:p w14:paraId="330B2CE7" w14:textId="0AA37351" w:rsidR="00E628B8" w:rsidRDefault="00E628B8" w:rsidP="005613AC">
      <w:pPr>
        <w:pStyle w:val="Subheading"/>
      </w:pPr>
      <w:r>
        <w:t>Historical archaeological places</w:t>
      </w:r>
    </w:p>
    <w:p w14:paraId="58332CEC" w14:textId="28207481" w:rsidR="00E628B8" w:rsidRDefault="00E628B8" w:rsidP="00E628B8">
      <w:pPr>
        <w:pStyle w:val="BodyText"/>
      </w:pPr>
      <w:r>
        <w:t xml:space="preserve">The following recommendations relate to the </w:t>
      </w:r>
      <w:r w:rsidR="000C543E">
        <w:t>three</w:t>
      </w:r>
      <w:r>
        <w:t xml:space="preserve"> identified historical archaeological places (former Badgerys Creek butchery site, </w:t>
      </w:r>
      <w:proofErr w:type="spellStart"/>
      <w:r>
        <w:t>Braeburn</w:t>
      </w:r>
      <w:proofErr w:type="spellEnd"/>
      <w:r>
        <w:t xml:space="preserve"> Homestead sites, </w:t>
      </w:r>
      <w:r w:rsidR="005416D7">
        <w:t xml:space="preserve">former </w:t>
      </w:r>
      <w:proofErr w:type="spellStart"/>
      <w:r w:rsidR="005416D7">
        <w:t>Anchau</w:t>
      </w:r>
      <w:proofErr w:type="spellEnd"/>
      <w:r w:rsidR="005416D7">
        <w:t xml:space="preserve"> Vineyard site,</w:t>
      </w:r>
      <w:r w:rsidR="00641C57">
        <w:t xml:space="preserve">) site </w:t>
      </w:r>
      <w:r>
        <w:t>within the study area.</w:t>
      </w:r>
    </w:p>
    <w:p w14:paraId="16A5D225" w14:textId="224A39E5" w:rsidR="00E628B8" w:rsidRDefault="00E628B8" w:rsidP="00E628B8">
      <w:pPr>
        <w:pStyle w:val="ListBullet"/>
      </w:pPr>
      <w:r w:rsidRPr="00E628B8">
        <w:t xml:space="preserve">An archaeological assessment should be prepared for each of the </w:t>
      </w:r>
      <w:r w:rsidR="000C543E">
        <w:t>three</w:t>
      </w:r>
      <w:r w:rsidRPr="00E628B8">
        <w:t xml:space="preserve"> identified archaeological sites.</w:t>
      </w:r>
    </w:p>
    <w:p w14:paraId="3B8BACF7" w14:textId="727B9640" w:rsidR="00E628B8" w:rsidRDefault="00E628B8" w:rsidP="00E628B8">
      <w:pPr>
        <w:pStyle w:val="ListBullet"/>
      </w:pPr>
      <w:r w:rsidRPr="00E628B8">
        <w:t>The assessment should include a detailed investigation of the history, land titles and historic documentation, an assessment of the research potential and heritage values, and an appropriate archaeological management strategy for each individual site.</w:t>
      </w:r>
    </w:p>
    <w:p w14:paraId="78774A18" w14:textId="118802F5" w:rsidR="00E628B8" w:rsidRDefault="005416D7" w:rsidP="005613AC">
      <w:pPr>
        <w:pStyle w:val="Subheading"/>
      </w:pPr>
      <w:r>
        <w:t>Church and</w:t>
      </w:r>
      <w:r w:rsidRPr="005416D7">
        <w:t xml:space="preserve"> </w:t>
      </w:r>
      <w:r w:rsidR="00E339A7">
        <w:t>c</w:t>
      </w:r>
      <w:r w:rsidRPr="005416D7">
        <w:t xml:space="preserve">emetery </w:t>
      </w:r>
      <w:r w:rsidR="00E339A7">
        <w:t>h</w:t>
      </w:r>
      <w:r w:rsidRPr="005416D7">
        <w:t>eritage</w:t>
      </w:r>
    </w:p>
    <w:p w14:paraId="13627275" w14:textId="4A3909B1" w:rsidR="00E628B8" w:rsidRDefault="005416D7" w:rsidP="00BE3216">
      <w:pPr>
        <w:pStyle w:val="BodyText"/>
      </w:pPr>
      <w:r>
        <w:t>The following recommendations relate to the t</w:t>
      </w:r>
      <w:r w:rsidRPr="005416D7">
        <w:t>wo former church sites with associated cemeteries are in Pitt Street</w:t>
      </w:r>
      <w:r>
        <w:t>.</w:t>
      </w:r>
    </w:p>
    <w:p w14:paraId="1D275B11" w14:textId="77777777" w:rsidR="005416D7" w:rsidRDefault="005416D7" w:rsidP="005416D7">
      <w:pPr>
        <w:pStyle w:val="ListBullet"/>
      </w:pPr>
      <w:r w:rsidRPr="005416D7">
        <w:t>An archaeological assessment of the two former church sites should be prepared that considers the research potential of each site, its heritage values and an appropriate archaeological strategy for managing the exhumation of graves, shoul</w:t>
      </w:r>
      <w:r>
        <w:t>d this be the preferred option.</w:t>
      </w:r>
    </w:p>
    <w:p w14:paraId="233C1058" w14:textId="2805419E" w:rsidR="005416D7" w:rsidRDefault="00641C57" w:rsidP="00641C57">
      <w:pPr>
        <w:pStyle w:val="ListBullet"/>
      </w:pPr>
      <w:r w:rsidRPr="00641C57">
        <w:t xml:space="preserve">If the church sites will, or are likely to, be disturbed by future development activities, determination </w:t>
      </w:r>
      <w:r w:rsidR="005416D7" w:rsidRPr="005416D7">
        <w:t>of the preferred site(s) for relocation of graves and the process of exhumation should be undertaken in consultation with all relevant stakeholder groups throughout the process including members of the families, church groups and religious bodies.</w:t>
      </w:r>
    </w:p>
    <w:p w14:paraId="6CB30AAF" w14:textId="47485DE3" w:rsidR="000C543E" w:rsidRDefault="000C543E" w:rsidP="005613AC">
      <w:pPr>
        <w:pStyle w:val="Subheading"/>
      </w:pPr>
      <w:r w:rsidRPr="000C543E">
        <w:t xml:space="preserve">Heritage </w:t>
      </w:r>
      <w:r>
        <w:t>p</w:t>
      </w:r>
      <w:r w:rsidRPr="000C543E">
        <w:t>recinct</w:t>
      </w:r>
    </w:p>
    <w:p w14:paraId="46F4FD21" w14:textId="32BD4696" w:rsidR="000C543E" w:rsidRDefault="000C543E" w:rsidP="000C543E">
      <w:pPr>
        <w:pStyle w:val="ListBullet"/>
      </w:pPr>
      <w:r w:rsidRPr="000C543E">
        <w:t>Options for the creation of a heritage precinct should be considered during the next phase of investigations. The precinct could include graves of local families, timber slab construction cottage(s), the original school building and artefacts and relics recovered from archaeological excavations. The heritage precinct would ensure that an understanding of early life in this rural environment is preserved for future generations.</w:t>
      </w:r>
    </w:p>
    <w:p w14:paraId="3F9FA385" w14:textId="6339E355" w:rsidR="000C543E" w:rsidRDefault="000C543E" w:rsidP="005613AC">
      <w:pPr>
        <w:pStyle w:val="Subheading"/>
      </w:pPr>
      <w:r w:rsidRPr="000C543E">
        <w:t xml:space="preserve">Heritage in the </w:t>
      </w:r>
      <w:r>
        <w:t>v</w:t>
      </w:r>
      <w:r w:rsidRPr="000C543E">
        <w:t>icinity</w:t>
      </w:r>
      <w:r>
        <w:t xml:space="preserve"> of the Commonwealth land</w:t>
      </w:r>
    </w:p>
    <w:p w14:paraId="33807CA0" w14:textId="38857CA8" w:rsidR="000C543E" w:rsidRDefault="000C543E" w:rsidP="000C543E">
      <w:pPr>
        <w:pStyle w:val="ListBullet"/>
      </w:pPr>
      <w:r w:rsidRPr="000C543E">
        <w:t>Twenty-one listed and potential heritage items have been identified within the vicinity of the Badgerys Creek study area, which warrant further investigation to determine whether there would be impacts to heritage values arising from any future proposed development. Appropriate mitigation measures aimed at avoiding or mitigating impacts on heritage values should also be determined.</w:t>
      </w:r>
    </w:p>
    <w:p w14:paraId="198F11D5" w14:textId="77777777" w:rsidR="003B00DE" w:rsidRDefault="003B00DE" w:rsidP="00BE3216">
      <w:pPr>
        <w:pStyle w:val="BodyText"/>
      </w:pPr>
    </w:p>
    <w:p w14:paraId="7F7460FF" w14:textId="77777777" w:rsidR="00261470" w:rsidRDefault="00261470" w:rsidP="003B00DE">
      <w:pPr>
        <w:pStyle w:val="Heading1"/>
        <w:sectPr w:rsidR="00261470" w:rsidSect="009378DC">
          <w:type w:val="oddPage"/>
          <w:pgSz w:w="11900" w:h="16840"/>
          <w:pgMar w:top="1418" w:right="1418" w:bottom="1418" w:left="1418" w:header="709" w:footer="709" w:gutter="0"/>
          <w:cols w:space="708"/>
          <w:docGrid w:linePitch="360"/>
        </w:sectPr>
      </w:pPr>
    </w:p>
    <w:p w14:paraId="4A4D2053" w14:textId="10F4191E" w:rsidR="003B00DE" w:rsidRDefault="003B00DE" w:rsidP="003B00DE">
      <w:pPr>
        <w:pStyle w:val="Heading1"/>
      </w:pPr>
      <w:bookmarkStart w:id="57" w:name="_Toc400720083"/>
      <w:r>
        <w:t>Aboriginal heritage</w:t>
      </w:r>
      <w:bookmarkEnd w:id="57"/>
    </w:p>
    <w:p w14:paraId="39A09D0D" w14:textId="77777777" w:rsidR="005720AC" w:rsidRDefault="005720AC" w:rsidP="005720AC">
      <w:pPr>
        <w:pStyle w:val="Heading2"/>
      </w:pPr>
      <w:bookmarkStart w:id="58" w:name="_Toc400720084"/>
      <w:r w:rsidRPr="005720AC">
        <w:t>Previous investigations</w:t>
      </w:r>
      <w:bookmarkEnd w:id="58"/>
    </w:p>
    <w:p w14:paraId="490EC99E" w14:textId="77777777" w:rsidR="004678AE" w:rsidRDefault="004678AE" w:rsidP="004678AE">
      <w:pPr>
        <w:pStyle w:val="Heading3"/>
      </w:pPr>
      <w:r>
        <w:t>1997 Draft EIS</w:t>
      </w:r>
    </w:p>
    <w:p w14:paraId="75DC5FA2" w14:textId="1B914B5C" w:rsidR="00D74C5F" w:rsidRDefault="00D74C5F" w:rsidP="00D74C5F">
      <w:pPr>
        <w:pStyle w:val="BodyText"/>
      </w:pPr>
      <w:r>
        <w:t>Chapter 2</w:t>
      </w:r>
      <w:r w:rsidR="008C4E19">
        <w:t>0</w:t>
      </w:r>
      <w:r>
        <w:t xml:space="preserve"> of the </w:t>
      </w:r>
      <w:r w:rsidR="00B444F0">
        <w:t>Draft EIS</w:t>
      </w:r>
      <w:r>
        <w:t xml:space="preserve"> addressed the Aboriginal cultural heritage impacts of the </w:t>
      </w:r>
      <w:r w:rsidR="005C6016">
        <w:t xml:space="preserve">then </w:t>
      </w:r>
      <w:r>
        <w:t xml:space="preserve">proposed Second Sydney Airport. Discussion was based on a separate specialist investigation documented in </w:t>
      </w:r>
      <w:r w:rsidRPr="005D7179">
        <w:rPr>
          <w:i/>
        </w:rPr>
        <w:t>Technical Paper 1</w:t>
      </w:r>
      <w:r w:rsidR="00A61570">
        <w:rPr>
          <w:i/>
        </w:rPr>
        <w:t>1</w:t>
      </w:r>
      <w:r w:rsidRPr="005D7179">
        <w:rPr>
          <w:i/>
        </w:rPr>
        <w:t>: Aboriginal Cultural Heritage</w:t>
      </w:r>
      <w:r>
        <w:t xml:space="preserve"> (</w:t>
      </w:r>
      <w:proofErr w:type="spellStart"/>
      <w:r w:rsidR="008C4E19">
        <w:t>Navin</w:t>
      </w:r>
      <w:proofErr w:type="spellEnd"/>
      <w:r w:rsidR="008C4E19">
        <w:t xml:space="preserve"> Officer Heritage Consultants</w:t>
      </w:r>
      <w:r>
        <w:t xml:space="preserve"> 1997).</w:t>
      </w:r>
    </w:p>
    <w:p w14:paraId="1043511C" w14:textId="77777777" w:rsidR="00F2669E" w:rsidRDefault="00584CF6" w:rsidP="004678AE">
      <w:pPr>
        <w:pStyle w:val="BodyText"/>
      </w:pPr>
      <w:r>
        <w:t>Aboriginal heritage items were identified through a combination of primary and secondary research, incorporating review of existing studies, investigation and documentation of the cultural heritage context of the study area</w:t>
      </w:r>
      <w:r w:rsidR="005B052D">
        <w:t xml:space="preserve">, field surveys and consultation. </w:t>
      </w:r>
      <w:r w:rsidR="00D254E9">
        <w:t>The study area comprised the composite footprint of the three airport options.</w:t>
      </w:r>
    </w:p>
    <w:p w14:paraId="11E7398D" w14:textId="77777777" w:rsidR="00F2669E" w:rsidRDefault="00717D37" w:rsidP="004678AE">
      <w:pPr>
        <w:pStyle w:val="BodyText"/>
      </w:pPr>
      <w:r>
        <w:t xml:space="preserve">The investigation included consultation with </w:t>
      </w:r>
      <w:r w:rsidR="00D254E9">
        <w:t xml:space="preserve">two Aboriginal stakeholder groups, the Darug Tribal Aboriginal Corporation and the </w:t>
      </w:r>
      <w:proofErr w:type="spellStart"/>
      <w:r w:rsidR="00D254E9">
        <w:t>Korewal</w:t>
      </w:r>
      <w:proofErr w:type="spellEnd"/>
      <w:r w:rsidR="00D254E9">
        <w:t xml:space="preserve"> Elouera </w:t>
      </w:r>
      <w:proofErr w:type="spellStart"/>
      <w:r w:rsidR="00D254E9">
        <w:t>Jerrungarugh</w:t>
      </w:r>
      <w:proofErr w:type="spellEnd"/>
      <w:r w:rsidR="00D254E9">
        <w:t xml:space="preserve"> Tribal Elders Aboriginal Corporation.</w:t>
      </w:r>
      <w:r w:rsidR="00F2669E">
        <w:t xml:space="preserve"> </w:t>
      </w:r>
      <w:r w:rsidR="005B052D">
        <w:t>The program of Aboriginal consultation included the dissemination of information throughout local Aboriginal communities, discussion of survey results and assessment of heritage values and other issues such as native title within the local Aboriginal communities.</w:t>
      </w:r>
    </w:p>
    <w:p w14:paraId="11A9816E" w14:textId="48139A7D" w:rsidR="004678AE" w:rsidRDefault="00656588" w:rsidP="004678AE">
      <w:pPr>
        <w:pStyle w:val="BodyText"/>
      </w:pPr>
      <w:r>
        <w:t xml:space="preserve">The survey methodology was prepared in accordance with NSW National Parks and Wildlife Service guidelines (NPWS 1997). </w:t>
      </w:r>
      <w:r w:rsidR="00756259">
        <w:t>Assessments of significance were based on the definition of cultural significance used in the Burra Charter. The investigation also identified a range of management measures to mitigate impacts.</w:t>
      </w:r>
    </w:p>
    <w:p w14:paraId="0ADF05C3" w14:textId="77777777" w:rsidR="00B9760A" w:rsidRDefault="00B9760A" w:rsidP="005613AC">
      <w:pPr>
        <w:pStyle w:val="Subheading"/>
      </w:pPr>
      <w:r>
        <w:t>Auditor’s Report</w:t>
      </w:r>
    </w:p>
    <w:p w14:paraId="1E28E093" w14:textId="1FDF2695" w:rsidR="00D052DE" w:rsidRDefault="004678AE" w:rsidP="004678AE">
      <w:pPr>
        <w:pStyle w:val="BodyText"/>
      </w:pPr>
      <w:r>
        <w:t xml:space="preserve">The Auditor’s Report on the Draft EIS (SMEC 1998) </w:t>
      </w:r>
      <w:r w:rsidR="004E63A6">
        <w:t>noted</w:t>
      </w:r>
      <w:r w:rsidR="00885C78">
        <w:t xml:space="preserve"> that the Draft Technical Paper on Aboriginal Cultural Heritage, although well written and argued in many sections, had major flaws in logic, data (or lack thereof), interpretation (especially the work of others) and presentation. It further noted that some of these flaws could not be corrected without substantial further field investigations. The flaws included problems in the sampling strategy used in executing the fie</w:t>
      </w:r>
      <w:r w:rsidR="00DC6C49">
        <w:t>l</w:t>
      </w:r>
      <w:r w:rsidR="00885C78">
        <w:t>d survey strategy and the fact that no tes</w:t>
      </w:r>
      <w:r w:rsidR="00D052DE">
        <w:t>t excavations were carried out.</w:t>
      </w:r>
    </w:p>
    <w:p w14:paraId="5FEE0F5F" w14:textId="50E99C58" w:rsidR="004678AE" w:rsidRDefault="00885C78" w:rsidP="004678AE">
      <w:pPr>
        <w:pStyle w:val="BodyText"/>
      </w:pPr>
      <w:r>
        <w:t>The Auditor’s assessment was that the scientific (or archaeological) significance of the known and unknown cultural heritage resources in the Badgerys Creek area might well prove to be higher than that presented in the draft EIS. Despite this reservation, the Auditor concur</w:t>
      </w:r>
      <w:r w:rsidR="00450FEB">
        <w:t>red</w:t>
      </w:r>
      <w:r>
        <w:t xml:space="preserve"> with inferences made in the Draft EIS that the scientific significance of the known and projected cultural heritage resources at Badger</w:t>
      </w:r>
      <w:r w:rsidR="00757507">
        <w:t>y</w:t>
      </w:r>
      <w:r>
        <w:t>s Creek is low.</w:t>
      </w:r>
      <w:r w:rsidR="00450FEB">
        <w:t xml:space="preserve"> The Auditor also commented that a cultural heritage management plan would need to be prepared if the airport proposal was to proceed.</w:t>
      </w:r>
    </w:p>
    <w:p w14:paraId="148A3365" w14:textId="77777777" w:rsidR="004678AE" w:rsidRDefault="004678AE" w:rsidP="004678AE">
      <w:pPr>
        <w:pStyle w:val="Heading3"/>
      </w:pPr>
      <w:r>
        <w:t>1999 Supplement to the Draft EIS</w:t>
      </w:r>
    </w:p>
    <w:p w14:paraId="6F068798" w14:textId="6739CE32" w:rsidR="004678AE" w:rsidRDefault="004678AE" w:rsidP="004678AE">
      <w:pPr>
        <w:pStyle w:val="BodyText"/>
      </w:pPr>
      <w:r>
        <w:t xml:space="preserve">Chapter </w:t>
      </w:r>
      <w:r w:rsidR="00BA4552">
        <w:t>17</w:t>
      </w:r>
      <w:r>
        <w:t xml:space="preserve"> of the Supplement to the Draft EIS summarised the findings of the </w:t>
      </w:r>
      <w:r w:rsidR="00B444F0">
        <w:t>Draft EIS</w:t>
      </w:r>
      <w:r>
        <w:t xml:space="preserve"> and issues raised in submissions.</w:t>
      </w:r>
      <w:r w:rsidR="00656588">
        <w:t xml:space="preserve"> A response to the issues raised in the Auditor’s Report and in submissions was provided, particularly in relation to consultation and methodology.</w:t>
      </w:r>
    </w:p>
    <w:p w14:paraId="708AFD9A" w14:textId="7D3E3AB4" w:rsidR="00656588" w:rsidRDefault="00656588" w:rsidP="004678AE">
      <w:pPr>
        <w:pStyle w:val="BodyText"/>
      </w:pPr>
      <w:r>
        <w:t xml:space="preserve">The response </w:t>
      </w:r>
      <w:r w:rsidR="00C76247">
        <w:t>indicated</w:t>
      </w:r>
      <w:r>
        <w:t xml:space="preserve"> the following:</w:t>
      </w:r>
    </w:p>
    <w:p w14:paraId="7C99B49A" w14:textId="49F20949" w:rsidR="004678AE" w:rsidRDefault="0042505E" w:rsidP="00AF0095">
      <w:pPr>
        <w:pStyle w:val="ListBullet"/>
      </w:pPr>
      <w:r>
        <w:t>Consultation was undertaken in accordance with protocols agreed with Aboriginal groups prior to the commencement of the consultation process.</w:t>
      </w:r>
    </w:p>
    <w:p w14:paraId="3FE8D855" w14:textId="5BC97AD5" w:rsidR="0042505E" w:rsidRDefault="0042505E" w:rsidP="00AF0095">
      <w:pPr>
        <w:pStyle w:val="ListBullet"/>
      </w:pPr>
      <w:r>
        <w:t>Much of the consultation work conducted by Aboriginal representatives in the process of compiling their reports and stated views is ‘hidden’ from readers of the Draft EIS  because this work was conducted orally and within tr</w:t>
      </w:r>
      <w:r w:rsidR="00457DE1">
        <w:t>aditional modes of consultation and documented and presented in a</w:t>
      </w:r>
      <w:r w:rsidR="005C6016">
        <w:t xml:space="preserve"> </w:t>
      </w:r>
      <w:r w:rsidR="00457DE1">
        <w:t xml:space="preserve">way </w:t>
      </w:r>
      <w:r w:rsidR="005C6016">
        <w:t>that</w:t>
      </w:r>
      <w:r w:rsidR="00457DE1">
        <w:t xml:space="preserve"> is deemed culturally appropriate by the relevant group or community.</w:t>
      </w:r>
    </w:p>
    <w:p w14:paraId="1EC082B5" w14:textId="1CF84244" w:rsidR="00457DE1" w:rsidRDefault="00457DE1" w:rsidP="00AF0095">
      <w:pPr>
        <w:pStyle w:val="ListBullet"/>
      </w:pPr>
      <w:r>
        <w:t>The sample survey methodology followed standards recognised within the field of archaeology and complied with the most recent NSW NPWS guidelines (1997). All archaeological surveys conducted in larger study areas invariably involve degrees of sampling.</w:t>
      </w:r>
    </w:p>
    <w:p w14:paraId="7B12F554" w14:textId="7124DC3A" w:rsidR="00457DE1" w:rsidRDefault="00457DE1" w:rsidP="00AF0095">
      <w:pPr>
        <w:pStyle w:val="ListBullet"/>
      </w:pPr>
      <w:r>
        <w:t>Sub-surface testing was not carried out as</w:t>
      </w:r>
      <w:r w:rsidR="00FB31C2">
        <w:t xml:space="preserve"> it was argued that it was not warranted given available data from excavations carried out in adjacent and comparable environments</w:t>
      </w:r>
      <w:r w:rsidR="00C76247">
        <w:t>,</w:t>
      </w:r>
      <w:r w:rsidR="00FB31C2">
        <w:t xml:space="preserve"> and that it would have resulted in otherwise avoidable and irreversible damage through excavation to many archaeological sites located outside of the zone of impact.</w:t>
      </w:r>
    </w:p>
    <w:p w14:paraId="40D39794" w14:textId="77777777" w:rsidR="00FB31C2" w:rsidRDefault="00FB31C2" w:rsidP="00AF0095">
      <w:pPr>
        <w:pStyle w:val="ListBullet"/>
      </w:pPr>
      <w:r>
        <w:t>The Burra Charter is the most authoritative and recognised statement of heritage principles, objectives and methodology within Australia and allows for the assessment of heritage values which are outside of a strictly archaeological methodology.</w:t>
      </w:r>
    </w:p>
    <w:p w14:paraId="00CF7DEB" w14:textId="127C289E" w:rsidR="00FB31C2" w:rsidRDefault="00C9308C" w:rsidP="00AF0095">
      <w:pPr>
        <w:pStyle w:val="ListBullet"/>
      </w:pPr>
      <w:r>
        <w:t xml:space="preserve">The </w:t>
      </w:r>
      <w:r w:rsidR="00FB31C2">
        <w:t>identif</w:t>
      </w:r>
      <w:r>
        <w:t>ication of</w:t>
      </w:r>
      <w:r w:rsidR="00FB31C2">
        <w:t xml:space="preserve"> con</w:t>
      </w:r>
      <w:r>
        <w:t>t</w:t>
      </w:r>
      <w:r w:rsidR="00FB31C2">
        <w:t xml:space="preserve">emporary Aboriginal cultural values </w:t>
      </w:r>
      <w:r w:rsidR="000243C4">
        <w:t>is cent</w:t>
      </w:r>
      <w:r>
        <w:t>red on consultation within the Aboriginal community and reporting in the Draft EIS relies on the actual words of the Aborigines to identify their own cultural value</w:t>
      </w:r>
      <w:r w:rsidR="00641C57">
        <w:t>s</w:t>
      </w:r>
      <w:r>
        <w:t xml:space="preserve"> and beliefs regarding the sites and the intangible (non-archaeological) values they contained. The succinctness of these reports and their brevity relative to the majority of the Draft EIS obscures the level of activity on behalf of the Aboriginal study team who compiled them.</w:t>
      </w:r>
    </w:p>
    <w:p w14:paraId="2AA31364" w14:textId="0810C059" w:rsidR="00261947" w:rsidRDefault="00261947" w:rsidP="00AF0095">
      <w:pPr>
        <w:pStyle w:val="ListBullet"/>
      </w:pPr>
      <w:r>
        <w:t>Detailed information pertaining to Aboriginal sites (such as site location and contents) is generally not made available to the public. This is a well-established protocol which ensures the optimal protection for Aboriginal sites. However the available evidence was utilised by the archaeologists and Aboriginal community in preparing all significance assessments.</w:t>
      </w:r>
    </w:p>
    <w:p w14:paraId="44CC6E89" w14:textId="3DE1E00C" w:rsidR="00656588" w:rsidRDefault="00656588" w:rsidP="004678AE">
      <w:pPr>
        <w:pStyle w:val="BodyText"/>
      </w:pPr>
      <w:r>
        <w:t>Further consultation with Aboriginal groups was undertaken to review their opinions on the airport proposal</w:t>
      </w:r>
      <w:r w:rsidR="00261947">
        <w:t>, however no additional input was able to be obtained for inclusion in the Supplement.</w:t>
      </w:r>
    </w:p>
    <w:p w14:paraId="00F97532" w14:textId="75E986DC" w:rsidR="00261947" w:rsidRDefault="00261947" w:rsidP="004678AE">
      <w:pPr>
        <w:pStyle w:val="BodyText"/>
      </w:pPr>
      <w:r>
        <w:t xml:space="preserve">One additional field site was added </w:t>
      </w:r>
      <w:r w:rsidR="00D052DE">
        <w:t>to the Draft EIS database.</w:t>
      </w:r>
    </w:p>
    <w:p w14:paraId="55C99643" w14:textId="6D14BBFD" w:rsidR="00261947" w:rsidRDefault="00261947" w:rsidP="004678AE">
      <w:pPr>
        <w:pStyle w:val="BodyText"/>
      </w:pPr>
      <w:r>
        <w:t xml:space="preserve">An updated search of Native Title claims was undertaken for the Supplement. The claim identified in the Draft EIS had subsequently been rejected. </w:t>
      </w:r>
      <w:r w:rsidR="00D052DE">
        <w:t>O</w:t>
      </w:r>
      <w:r>
        <w:t xml:space="preserve">ne additional claim, the boundaries of which included the sites of the airport options, </w:t>
      </w:r>
      <w:r w:rsidR="00620AB2">
        <w:t xml:space="preserve">had been lodged </w:t>
      </w:r>
      <w:r w:rsidR="00D052DE">
        <w:t>subsequent to</w:t>
      </w:r>
      <w:r w:rsidR="00620AB2">
        <w:t xml:space="preserve"> the preparation of the Draft EIS but </w:t>
      </w:r>
      <w:r w:rsidR="00D052DE">
        <w:t xml:space="preserve">had </w:t>
      </w:r>
      <w:r w:rsidR="00620AB2">
        <w:t xml:space="preserve">not </w:t>
      </w:r>
      <w:r w:rsidR="00D052DE">
        <w:t xml:space="preserve">been </w:t>
      </w:r>
      <w:r w:rsidR="00620AB2">
        <w:t>decided at the time of the preparation of the Supplement to the Draft EIS.</w:t>
      </w:r>
    </w:p>
    <w:p w14:paraId="2FB279DF" w14:textId="08090557" w:rsidR="004678AE" w:rsidRDefault="00620AB2" w:rsidP="004678AE">
      <w:pPr>
        <w:pStyle w:val="BodyText"/>
      </w:pPr>
      <w:r>
        <w:t>An assessment of the cumulative impacts on the existing or surviving Aboriginal cultural resource in the region surround</w:t>
      </w:r>
      <w:r w:rsidR="00641C57">
        <w:t>ing</w:t>
      </w:r>
      <w:r>
        <w:t xml:space="preserve"> the </w:t>
      </w:r>
      <w:r w:rsidR="00641C57">
        <w:t xml:space="preserve">proposed </w:t>
      </w:r>
      <w:r>
        <w:t xml:space="preserve">Second Sydney Airport </w:t>
      </w:r>
      <w:r w:rsidR="00641C57">
        <w:t xml:space="preserve">site </w:t>
      </w:r>
      <w:r>
        <w:t>was undertaken for the Supplement</w:t>
      </w:r>
      <w:r w:rsidR="00641C57">
        <w:t xml:space="preserve"> to the Draft EIS</w:t>
      </w:r>
      <w:r>
        <w:t xml:space="preserve">. </w:t>
      </w:r>
      <w:proofErr w:type="gramStart"/>
      <w:r>
        <w:t>Th</w:t>
      </w:r>
      <w:r w:rsidR="00641C57">
        <w:t xml:space="preserve">is </w:t>
      </w:r>
      <w:r>
        <w:t>actual and predicted cumulative impacts</w:t>
      </w:r>
      <w:proofErr w:type="gramEnd"/>
      <w:r>
        <w:t xml:space="preserve"> suggest</w:t>
      </w:r>
      <w:r w:rsidR="00641C57">
        <w:t>ed</w:t>
      </w:r>
      <w:r>
        <w:t xml:space="preserve"> that the development of any airport options would result in a significant impact </w:t>
      </w:r>
      <w:r w:rsidR="00641C57">
        <w:t>on</w:t>
      </w:r>
      <w:r>
        <w:t xml:space="preserve"> the archaeological resource of the Cumberland Plan, </w:t>
      </w:r>
      <w:r w:rsidR="00641C57">
        <w:t xml:space="preserve">but </w:t>
      </w:r>
      <w:r>
        <w:t>noting that only a very small proportion of the Cumberland Plain had been subject to comprehensive field survey.</w:t>
      </w:r>
    </w:p>
    <w:p w14:paraId="6CFA3880" w14:textId="768C7003" w:rsidR="004678AE" w:rsidRDefault="001F4163" w:rsidP="004678AE">
      <w:pPr>
        <w:pStyle w:val="BodyText"/>
      </w:pPr>
      <w:r>
        <w:t xml:space="preserve">It was proposed that the impact mitigation strategies would be implemented in the context of the environmental management plan for the construction of the airport rather than in a standalone cultural heritage management plan, due to the limited options for mitigation. </w:t>
      </w:r>
    </w:p>
    <w:p w14:paraId="1BDFECD8" w14:textId="77777777" w:rsidR="00B9760A" w:rsidRDefault="00B9760A" w:rsidP="005613AC">
      <w:pPr>
        <w:pStyle w:val="Subheading"/>
      </w:pPr>
      <w:r>
        <w:t>Auditor’s Report</w:t>
      </w:r>
    </w:p>
    <w:p w14:paraId="56567432" w14:textId="34C1279E" w:rsidR="004678AE" w:rsidRDefault="004678AE" w:rsidP="004678AE">
      <w:pPr>
        <w:pStyle w:val="BodyText"/>
      </w:pPr>
      <w:r>
        <w:t xml:space="preserve">The Auditor’s Report on the Supplement to the Draft EIS (SMEC 1999) noted that </w:t>
      </w:r>
      <w:r w:rsidR="005F31CA">
        <w:t>the Supplement state</w:t>
      </w:r>
      <w:r w:rsidR="00B9760A">
        <w:t>d</w:t>
      </w:r>
      <w:r w:rsidR="005F31CA">
        <w:t xml:space="preserve"> that once a preferred option </w:t>
      </w:r>
      <w:r w:rsidR="00B9760A">
        <w:t>was</w:t>
      </w:r>
      <w:r w:rsidR="005F31CA">
        <w:t xml:space="preserve"> selected, a detailed and comprehensive program of subsurface testing and salvage would be conducted within the preferred airport option. The Auditor suggested that the possibility that this testing may reveal items of greater significance than </w:t>
      </w:r>
      <w:r w:rsidR="00A86B45">
        <w:t>what ha</w:t>
      </w:r>
      <w:r w:rsidR="00B9760A">
        <w:t>d</w:t>
      </w:r>
      <w:r w:rsidR="00A86B45">
        <w:t xml:space="preserve"> been identified on site to date should be considered.</w:t>
      </w:r>
    </w:p>
    <w:p w14:paraId="66D51B08" w14:textId="35F0F76B" w:rsidR="004678AE" w:rsidRDefault="00A86B45" w:rsidP="004678AE">
      <w:pPr>
        <w:pStyle w:val="BodyText"/>
      </w:pPr>
      <w:r>
        <w:t xml:space="preserve">The Auditor noted that the Supplement identified that all of the airport options would impact on sites </w:t>
      </w:r>
      <w:r w:rsidR="00D052DE">
        <w:t>that</w:t>
      </w:r>
      <w:r>
        <w:t xml:space="preserve"> are valued by the local Aboriginal community for their cultural significance.</w:t>
      </w:r>
    </w:p>
    <w:p w14:paraId="51FCD6EE" w14:textId="6010F44E" w:rsidR="00E60DFA" w:rsidRDefault="00E60DFA" w:rsidP="004678AE">
      <w:pPr>
        <w:pStyle w:val="Heading3"/>
      </w:pPr>
      <w:r>
        <w:t xml:space="preserve">1999 Environment </w:t>
      </w:r>
      <w:r w:rsidR="00E82C51">
        <w:t>Australia A</w:t>
      </w:r>
      <w:r>
        <w:t xml:space="preserve">ssessment </w:t>
      </w:r>
      <w:r w:rsidR="00E82C51">
        <w:t>R</w:t>
      </w:r>
      <w:r>
        <w:t>eport</w:t>
      </w:r>
    </w:p>
    <w:p w14:paraId="4BF9B30C" w14:textId="0DEDE004" w:rsidR="00F6620F" w:rsidRDefault="00E60DFA" w:rsidP="00E60DFA">
      <w:pPr>
        <w:pStyle w:val="BodyText"/>
      </w:pPr>
      <w:r>
        <w:t xml:space="preserve">Environment Australia’s report </w:t>
      </w:r>
      <w:r w:rsidR="00F6620F">
        <w:t xml:space="preserve">summarised the findings </w:t>
      </w:r>
      <w:r w:rsidR="00D052DE">
        <w:t>of</w:t>
      </w:r>
      <w:r>
        <w:t xml:space="preserve"> the </w:t>
      </w:r>
      <w:r w:rsidR="00F6620F">
        <w:t>draft EIS, Supplement and Auditor’s Reports.</w:t>
      </w:r>
      <w:r w:rsidR="00D052DE">
        <w:t xml:space="preserve"> </w:t>
      </w:r>
      <w:r w:rsidR="00F6620F">
        <w:t>The following points</w:t>
      </w:r>
      <w:r w:rsidR="00C76247">
        <w:t xml:space="preserve"> were made</w:t>
      </w:r>
      <w:r w:rsidR="00F6620F">
        <w:t xml:space="preserve"> in relation to the assessment of Aboriginal heritage:</w:t>
      </w:r>
    </w:p>
    <w:p w14:paraId="2ACBFD5B" w14:textId="2538998C" w:rsidR="00F6620F" w:rsidRDefault="00F6620F" w:rsidP="00AF0095">
      <w:pPr>
        <w:pStyle w:val="ListBullet"/>
      </w:pPr>
      <w:r>
        <w:t>A higher priority could have been given to more detailed supporting anthropological and historical studies to assist in addressing issues relating to Aboriginal cultural significance more effectively.</w:t>
      </w:r>
    </w:p>
    <w:p w14:paraId="07675745" w14:textId="0B8E7D50" w:rsidR="00F6620F" w:rsidRDefault="00F6620F" w:rsidP="00AF0095">
      <w:pPr>
        <w:pStyle w:val="ListBullet"/>
      </w:pPr>
      <w:r>
        <w:t>More detailed studies into contemporary Aboriginal heritage values, as opposed to archaeological values, would have helped to clarify the nature of the cul</w:t>
      </w:r>
      <w:r w:rsidR="007A7AE2">
        <w:t>t</w:t>
      </w:r>
      <w:r>
        <w:t>u</w:t>
      </w:r>
      <w:r w:rsidR="007A7AE2">
        <w:t>r</w:t>
      </w:r>
      <w:r>
        <w:t>al heritage significance of the proposed airport site.</w:t>
      </w:r>
    </w:p>
    <w:p w14:paraId="621DF8BC" w14:textId="4E4220CF" w:rsidR="00F6620F" w:rsidRDefault="007A7AE2" w:rsidP="00AF0095">
      <w:pPr>
        <w:pStyle w:val="ListBullet"/>
      </w:pPr>
      <w:r>
        <w:t>Further work into contemporary Aboriginal heritage values should be done prior to construction of the airport as part of the conservation management plan.</w:t>
      </w:r>
    </w:p>
    <w:p w14:paraId="5949366D" w14:textId="68B9E111" w:rsidR="007A7AE2" w:rsidRDefault="007A7AE2" w:rsidP="00AF0095">
      <w:pPr>
        <w:pStyle w:val="ListBullet"/>
      </w:pPr>
      <w:r>
        <w:t>Information relating to the implications of native title claims for the airport development has not been provided.</w:t>
      </w:r>
    </w:p>
    <w:p w14:paraId="3DFC317A" w14:textId="6F05DF41" w:rsidR="007A7AE2" w:rsidRDefault="007A7AE2" w:rsidP="00AF0095">
      <w:pPr>
        <w:pStyle w:val="ListBullet"/>
      </w:pPr>
      <w:r>
        <w:t>The survey methodology appears to have been adequate and in accordance with accepted methodological standards in NSW NPWS guidelines.</w:t>
      </w:r>
    </w:p>
    <w:p w14:paraId="4F52A085" w14:textId="0389B63B" w:rsidR="007A7AE2" w:rsidRDefault="007A7AE2" w:rsidP="00AF0095">
      <w:pPr>
        <w:pStyle w:val="ListBullet"/>
      </w:pPr>
      <w:r>
        <w:t>The decision not to undertake sub-surface testing for the EIS was appropriate as it could have resulted in unnecessary damage to cultural heritage sites and was in accordance with current best practice in the conservation of cultural heritage.</w:t>
      </w:r>
    </w:p>
    <w:p w14:paraId="4294450D" w14:textId="1F88A208" w:rsidR="00E90248" w:rsidRDefault="006E3AFE" w:rsidP="00AF0095">
      <w:pPr>
        <w:pStyle w:val="ListBullet"/>
      </w:pPr>
      <w:r>
        <w:t xml:space="preserve">A conclusion in Technical Paper 11 Aboriginal Cultural Heritage that </w:t>
      </w:r>
      <w:r w:rsidR="00BC5DFA">
        <w:t>‘</w:t>
      </w:r>
      <w:r>
        <w:t>below the plough zone and within the deeper sedimentary deposits of the lower Badgerys Creek fluvial corridor, the potential for significant archaeological deposits within a regional content cannot be wholly discounted</w:t>
      </w:r>
      <w:r w:rsidR="00BC5DFA">
        <w:t>’</w:t>
      </w:r>
      <w:r>
        <w:t xml:space="preserve"> was not included in the Draft EIS.</w:t>
      </w:r>
    </w:p>
    <w:p w14:paraId="596E135E" w14:textId="2EA62882" w:rsidR="00105475" w:rsidRDefault="00105475" w:rsidP="00AF0095">
      <w:pPr>
        <w:pStyle w:val="ListBullet"/>
      </w:pPr>
      <w:r>
        <w:t>A regional survey of the archaeological and contemporary Aboriginal cultural heritage resources of the Cumberland Plain would assist in identifying the Aboriginal cultural heritage values of the Cumberland Plain and would allow a more accurate assessment of individual sites and suites of sites</w:t>
      </w:r>
      <w:r w:rsidR="001F4163">
        <w:t>.</w:t>
      </w:r>
    </w:p>
    <w:p w14:paraId="2BDBE9D4" w14:textId="2913C0F7" w:rsidR="001F4163" w:rsidRDefault="001F4163" w:rsidP="00AF0095">
      <w:pPr>
        <w:pStyle w:val="ListBullet"/>
      </w:pPr>
      <w:r>
        <w:t>The suggestion that regional trade-offs may assist in mitigating cumulative impacts induced by the airport development was not taken up in the environmental management measures proposed in the Supplement. The possibility of pursuing such initiatives could be explored in the context of regional environmental planning, in consultation with the local Aboriginal community.</w:t>
      </w:r>
    </w:p>
    <w:p w14:paraId="3A9E445C" w14:textId="0292D556" w:rsidR="000243C4" w:rsidRDefault="000243C4" w:rsidP="000243C4">
      <w:pPr>
        <w:pStyle w:val="BodyText"/>
      </w:pPr>
      <w:r>
        <w:t>The report made the following recommendations</w:t>
      </w:r>
    </w:p>
    <w:p w14:paraId="64B1583C" w14:textId="76BEC35F" w:rsidR="000243C4" w:rsidRDefault="000243C4" w:rsidP="00AF0095">
      <w:pPr>
        <w:pStyle w:val="ListBullet"/>
      </w:pPr>
      <w:r>
        <w:t>The construction program should allow for the excavation and recording in accordance with established practice of any Aboriginal archaeological deposits of regional or national significance found during the planned program of sub-surface testing or during construction.</w:t>
      </w:r>
    </w:p>
    <w:p w14:paraId="04B21DC0" w14:textId="4F0F1C94" w:rsidR="001F4163" w:rsidRPr="00E60DFA" w:rsidRDefault="000243C4" w:rsidP="00AF0095">
      <w:pPr>
        <w:pStyle w:val="ListBullet"/>
      </w:pPr>
      <w:r>
        <w:t>An Aboriginal cultural heritage conservation management plan must be developed to guide the management of the Aboriginal heritage of the Badgerys Creek site. This plan should be developed in consultation with the local Aboriginal community, and should include documentation of the significance of the site or parts of the site to Aboriginal communities.</w:t>
      </w:r>
    </w:p>
    <w:p w14:paraId="0B78A59E" w14:textId="77777777" w:rsidR="004678AE" w:rsidRDefault="004678AE" w:rsidP="004678AE">
      <w:pPr>
        <w:pStyle w:val="Heading3"/>
      </w:pPr>
      <w:r>
        <w:t>Other investigations</w:t>
      </w:r>
    </w:p>
    <w:p w14:paraId="6D61DDB8" w14:textId="77777777" w:rsidR="00664FF4" w:rsidRDefault="00664FF4" w:rsidP="00664FF4">
      <w:pPr>
        <w:pStyle w:val="BodyText"/>
      </w:pPr>
      <w:r w:rsidRPr="00664FF4">
        <w:t>There have been no other relevant investigations since 1999.</w:t>
      </w:r>
    </w:p>
    <w:p w14:paraId="0B1668CB" w14:textId="77777777" w:rsidR="00350B55" w:rsidRDefault="00350B55" w:rsidP="00350B55">
      <w:pPr>
        <w:pStyle w:val="Heading2"/>
      </w:pPr>
      <w:bookmarkStart w:id="59" w:name="_Toc400720085"/>
      <w:r>
        <w:t>Relevant legislation and guidelines</w:t>
      </w:r>
      <w:bookmarkEnd w:id="59"/>
    </w:p>
    <w:p w14:paraId="4B8FA236" w14:textId="55215241" w:rsidR="008415E2" w:rsidRDefault="008415E2" w:rsidP="008415E2">
      <w:pPr>
        <w:pStyle w:val="BodyText"/>
      </w:pPr>
      <w:r w:rsidRPr="008415E2">
        <w:t xml:space="preserve">Generally Australia’s state and territory governments are responsible for the protection of Australia’s </w:t>
      </w:r>
      <w:r>
        <w:t>indigenous heritage places. All States and Territories have laws that protect various types of indigenous heritage.</w:t>
      </w:r>
    </w:p>
    <w:p w14:paraId="75BEF59B" w14:textId="77777777" w:rsidR="00350B55" w:rsidRDefault="00350B55" w:rsidP="00350B55">
      <w:pPr>
        <w:pStyle w:val="Heading3"/>
      </w:pPr>
      <w:r>
        <w:t>Commonwealth</w:t>
      </w:r>
    </w:p>
    <w:p w14:paraId="7B0AC012" w14:textId="6023ECA5" w:rsidR="008415E2" w:rsidRDefault="008415E2" w:rsidP="008415E2">
      <w:pPr>
        <w:pStyle w:val="BodyText"/>
      </w:pPr>
      <w:r>
        <w:t>The Commonwealth is responsible for protecting indigenous heritage places that are nationally or internationally significant, or that are situated on land that is owned or managed by the Commonwealth. This protection operates under the EPBC Act.</w:t>
      </w:r>
    </w:p>
    <w:p w14:paraId="265BAE38" w14:textId="77777777" w:rsidR="008415E2" w:rsidRDefault="008415E2" w:rsidP="005613AC">
      <w:pPr>
        <w:pStyle w:val="Subheading"/>
      </w:pPr>
      <w:r>
        <w:t>Environment Protection and Biodiversity Conservation Act 1999</w:t>
      </w:r>
    </w:p>
    <w:p w14:paraId="263756E3" w14:textId="1D3C02FC" w:rsidR="008415E2" w:rsidRDefault="008415E2" w:rsidP="008415E2">
      <w:pPr>
        <w:pStyle w:val="BodyText"/>
      </w:pPr>
      <w:r>
        <w:t>The EPBC Act provides a legal framework for the protection and management of places of national environmental significance. The heritage lists addressed by the EPBC Act include the UN</w:t>
      </w:r>
      <w:r w:rsidR="00BC5DFA">
        <w:t>ESCO WHL, the NHL, and the CHL.</w:t>
      </w:r>
    </w:p>
    <w:p w14:paraId="340D1350" w14:textId="77777777" w:rsidR="008415E2" w:rsidRDefault="008415E2" w:rsidP="008415E2">
      <w:pPr>
        <w:pStyle w:val="BodyText"/>
      </w:pPr>
      <w:r>
        <w:t xml:space="preserve">Under Section 341ZB of the EPBC Act, Commonwealth agencies are required to conduct a heritage identification and assessment program to identify which of the places they own or control have Commonwealth Heritage values, including indigenous heritage values. Management of these places must be undertaken in accordance with the Commonwealth Heritage management principles. These are set out in the </w:t>
      </w:r>
      <w:r w:rsidRPr="008415E2">
        <w:rPr>
          <w:i/>
        </w:rPr>
        <w:t>Environment Protection and Biodiversity Conservation Regulations 2000</w:t>
      </w:r>
      <w:r>
        <w:t>.</w:t>
      </w:r>
    </w:p>
    <w:p w14:paraId="74AABD86" w14:textId="77777777" w:rsidR="008415E2" w:rsidRDefault="008415E2" w:rsidP="005613AC">
      <w:pPr>
        <w:pStyle w:val="Subheading"/>
      </w:pPr>
      <w:r>
        <w:t>Aboriginal and Torres Strait Islander Heritage Protection Act 1984</w:t>
      </w:r>
    </w:p>
    <w:p w14:paraId="5535B93C" w14:textId="1D4D7F50" w:rsidR="008415E2" w:rsidRDefault="008415E2" w:rsidP="008415E2">
      <w:pPr>
        <w:pStyle w:val="BodyText"/>
      </w:pPr>
      <w:r>
        <w:t xml:space="preserve">The </w:t>
      </w:r>
      <w:r w:rsidRPr="008415E2">
        <w:rPr>
          <w:i/>
        </w:rPr>
        <w:t>Aboriginal and Torres Strait Islander Heritage Protection Act 1984</w:t>
      </w:r>
      <w:r>
        <w:t xml:space="preserve"> (ATSIHP Act) is intended to preserve and protect areas and objects in Australia and in Australian waters, that are of particular significance to Aboriginals in accordance with Aboriginal tradition. The ATSIHP Act allows the Environment Minister to make a declaration protecting significant Aboriginal areas or objects, including human remains, from ‘threat of injury or desecration’. Emergency declarations can also be made by the Minister, or authorised officers, where there is a serious and immediate threat. The ATSIHP does not protect all forms of </w:t>
      </w:r>
      <w:r w:rsidR="001C1E01">
        <w:t>Aboriginal</w:t>
      </w:r>
      <w:r>
        <w:t xml:space="preserve"> heritage; for example, it does not cover areas and objects whose heritage significance is due to their archaeological, scientific or historical interest. </w:t>
      </w:r>
    </w:p>
    <w:p w14:paraId="091020DF" w14:textId="77777777" w:rsidR="008415E2" w:rsidRDefault="008415E2" w:rsidP="005613AC">
      <w:pPr>
        <w:pStyle w:val="Subheading"/>
      </w:pPr>
      <w:r>
        <w:t>Native Title Act 1993</w:t>
      </w:r>
    </w:p>
    <w:p w14:paraId="4AC9B7F8" w14:textId="183996C5" w:rsidR="008415E2" w:rsidRDefault="008415E2" w:rsidP="008415E2">
      <w:pPr>
        <w:pStyle w:val="BodyText"/>
      </w:pPr>
      <w:r>
        <w:t xml:space="preserve">Native title is the recognition by Australian law that Aboriginal peoples or Torres Strait Islanders have rights and interests to land and waters that arise from traditional laws and customs. The </w:t>
      </w:r>
      <w:r w:rsidRPr="008415E2">
        <w:rPr>
          <w:i/>
        </w:rPr>
        <w:t>Native Title Act 1993</w:t>
      </w:r>
      <w:r>
        <w:t xml:space="preserve"> (Native Title Act) recognises and protects native title in Australia, and establishes a mechanism for determining native title claims. It also provides for negotiations between native title holders or registered native title claimants (native title parties) and other parties regarding the use and management of land and waters, in the form of </w:t>
      </w:r>
      <w:r w:rsidR="001C1E01">
        <w:t>Aboriginal</w:t>
      </w:r>
      <w:r>
        <w:t xml:space="preserve"> Land Use Agreements (ILUAs).  </w:t>
      </w:r>
    </w:p>
    <w:p w14:paraId="23F4D06E" w14:textId="34A70671" w:rsidR="00F2669E" w:rsidRDefault="008415E2" w:rsidP="008415E2">
      <w:pPr>
        <w:pStyle w:val="BodyText"/>
      </w:pPr>
      <w:r>
        <w:t xml:space="preserve">The Native Title Registrar of the National Native Title Tribunal (NNTT) keeps three public registers of native title information: the National Native Title Register, the Register of Native Title Claims, and the Register of </w:t>
      </w:r>
      <w:r w:rsidR="001C1E01">
        <w:t>Aboriginal</w:t>
      </w:r>
      <w:r>
        <w:t xml:space="preserve"> Land Use Agreements. Registered native title holders are recognised as having a right to speak for Country on Aboriginal culture and heritage.</w:t>
      </w:r>
    </w:p>
    <w:p w14:paraId="2EE94BD0" w14:textId="3ABFCD16" w:rsidR="00F2669E" w:rsidRDefault="008415E2" w:rsidP="005613AC">
      <w:pPr>
        <w:pStyle w:val="Subheading"/>
      </w:pPr>
      <w:r>
        <w:t>Guidelines</w:t>
      </w:r>
      <w:r w:rsidR="002F17B1">
        <w:t xml:space="preserve"> and strategies</w:t>
      </w:r>
    </w:p>
    <w:p w14:paraId="3BCC0E94" w14:textId="54FE24B3" w:rsidR="00051D7B" w:rsidRDefault="003B020D" w:rsidP="00051D7B">
      <w:pPr>
        <w:pStyle w:val="BodyText"/>
      </w:pPr>
      <w:r w:rsidRPr="003B020D">
        <w:t xml:space="preserve">Commonwealth guidelines and strategies related to </w:t>
      </w:r>
      <w:r>
        <w:t>Aboriginal</w:t>
      </w:r>
      <w:r w:rsidRPr="003B020D">
        <w:t xml:space="preserve"> heritage that are of likely or potential relevance to the study area are listed in the following table with comment provided on the nature of their relevance</w:t>
      </w:r>
    </w:p>
    <w:p w14:paraId="64A7AF0E" w14:textId="2C5C06EA" w:rsidR="007D21D4" w:rsidRDefault="007D21D4" w:rsidP="00BC5DFA">
      <w:pPr>
        <w:pStyle w:val="Caption"/>
        <w:keepNext/>
        <w:pageBreakBefore/>
        <w:ind w:left="1134" w:hanging="1134"/>
      </w:pPr>
      <w:bookmarkStart w:id="60" w:name="_Toc402442844"/>
      <w:proofErr w:type="gramStart"/>
      <w:r>
        <w:t xml:space="preserve">Table </w:t>
      </w:r>
      <w:fldSimple w:instr=" STYLEREF 1 \s ">
        <w:r w:rsidR="004E469D">
          <w:rPr>
            <w:noProof/>
          </w:rPr>
          <w:t>4</w:t>
        </w:r>
      </w:fldSimple>
      <w:r w:rsidR="00EF76BA">
        <w:t>.</w:t>
      </w:r>
      <w:proofErr w:type="gramEnd"/>
      <w:r w:rsidR="001C525C">
        <w:fldChar w:fldCharType="begin"/>
      </w:r>
      <w:r w:rsidR="001C525C">
        <w:instrText xml:space="preserve"> SEQ Table \* ARABIC \s 1 </w:instrText>
      </w:r>
      <w:r w:rsidR="001C525C">
        <w:fldChar w:fldCharType="separate"/>
      </w:r>
      <w:r w:rsidR="004E469D">
        <w:rPr>
          <w:noProof/>
        </w:rPr>
        <w:t>1</w:t>
      </w:r>
      <w:r w:rsidR="001C525C">
        <w:rPr>
          <w:noProof/>
        </w:rPr>
        <w:fldChar w:fldCharType="end"/>
      </w:r>
      <w:r>
        <w:tab/>
        <w:t>Commonwealth guidelines and strategies related to Aboriginal heritage</w:t>
      </w:r>
      <w:bookmarkEnd w:id="60"/>
    </w:p>
    <w:tbl>
      <w:tblPr>
        <w:tblStyle w:val="TableGrid"/>
        <w:tblW w:w="9280" w:type="dxa"/>
        <w:tblBorders>
          <w:bottom w:val="single" w:sz="4" w:space="0" w:color="auto"/>
        </w:tblBorders>
        <w:tblLook w:val="04A0" w:firstRow="1" w:lastRow="0" w:firstColumn="1" w:lastColumn="0" w:noHBand="0" w:noVBand="1"/>
        <w:tblCaption w:val="Table 4.1 Commonwealth guidelines and strategies related to Aboriginal heritage"/>
        <w:tblDescription w:val="Table 4.1 Commonwealth guidelines and strategies related to Aboriginal heritage"/>
      </w:tblPr>
      <w:tblGrid>
        <w:gridCol w:w="2235"/>
        <w:gridCol w:w="1417"/>
        <w:gridCol w:w="5628"/>
      </w:tblGrid>
      <w:tr w:rsidR="00051D7B" w:rsidRPr="007A4848" w14:paraId="19678A73" w14:textId="77777777" w:rsidTr="0083160B">
        <w:trPr>
          <w:trHeight w:val="340"/>
          <w:tblHeader/>
        </w:trPr>
        <w:tc>
          <w:tcPr>
            <w:tcW w:w="2235" w:type="dxa"/>
          </w:tcPr>
          <w:p w14:paraId="1E5818BD" w14:textId="77777777" w:rsidR="00051D7B" w:rsidRPr="007A4848" w:rsidRDefault="00051D7B" w:rsidP="00342337">
            <w:pPr>
              <w:pStyle w:val="TableHeader"/>
            </w:pPr>
            <w:r w:rsidRPr="007A4848">
              <w:t>Guideline</w:t>
            </w:r>
            <w:r>
              <w:t>/Strategy</w:t>
            </w:r>
          </w:p>
        </w:tc>
        <w:tc>
          <w:tcPr>
            <w:tcW w:w="1417" w:type="dxa"/>
          </w:tcPr>
          <w:p w14:paraId="34B9BD63" w14:textId="77777777" w:rsidR="00051D7B" w:rsidRPr="007A4848" w:rsidRDefault="00051D7B" w:rsidP="00342337">
            <w:pPr>
              <w:pStyle w:val="TableHeader"/>
            </w:pPr>
            <w:r w:rsidRPr="007A4848">
              <w:t>Agency</w:t>
            </w:r>
          </w:p>
        </w:tc>
        <w:tc>
          <w:tcPr>
            <w:tcW w:w="5628" w:type="dxa"/>
          </w:tcPr>
          <w:p w14:paraId="54A357AE" w14:textId="77777777" w:rsidR="00051D7B" w:rsidRPr="007A4848" w:rsidRDefault="00051D7B" w:rsidP="00342337">
            <w:pPr>
              <w:pStyle w:val="TableHeader"/>
            </w:pPr>
            <w:r w:rsidRPr="007A4848">
              <w:t>Comment</w:t>
            </w:r>
          </w:p>
        </w:tc>
      </w:tr>
      <w:tr w:rsidR="00051D7B" w:rsidRPr="00F06DBB" w14:paraId="19D2881F" w14:textId="77777777" w:rsidTr="007D21D4">
        <w:trPr>
          <w:trHeight w:val="340"/>
        </w:trPr>
        <w:tc>
          <w:tcPr>
            <w:tcW w:w="2235" w:type="dxa"/>
          </w:tcPr>
          <w:p w14:paraId="34372842" w14:textId="6E5CD37F" w:rsidR="00051D7B" w:rsidRPr="00F06DBB" w:rsidRDefault="008415E2" w:rsidP="00342337">
            <w:pPr>
              <w:pStyle w:val="TableBody"/>
            </w:pPr>
            <w:r w:rsidRPr="008415E2">
              <w:t>Burra Charter: The Australian ICOMOS charter for the conservation of places of cultural significance (2013)</w:t>
            </w:r>
          </w:p>
        </w:tc>
        <w:tc>
          <w:tcPr>
            <w:tcW w:w="1417" w:type="dxa"/>
          </w:tcPr>
          <w:p w14:paraId="43103495" w14:textId="7A2A9A48" w:rsidR="00051D7B" w:rsidRPr="00F06DBB" w:rsidRDefault="008415E2" w:rsidP="00342337">
            <w:pPr>
              <w:pStyle w:val="TableBody"/>
            </w:pPr>
            <w:r>
              <w:t>DoE</w:t>
            </w:r>
          </w:p>
        </w:tc>
        <w:tc>
          <w:tcPr>
            <w:tcW w:w="5628" w:type="dxa"/>
          </w:tcPr>
          <w:p w14:paraId="5FBE1257" w14:textId="62D31BF8" w:rsidR="00051D7B" w:rsidRPr="00F06DBB" w:rsidRDefault="00E9218C" w:rsidP="00342337">
            <w:pPr>
              <w:pStyle w:val="TableBody"/>
            </w:pPr>
            <w:r w:rsidRPr="00E9218C">
              <w:t>The Burra Charter and the associated series of Practice Notes provide a best practice standard for managing cultural heritage places in Australia.</w:t>
            </w:r>
          </w:p>
        </w:tc>
      </w:tr>
      <w:tr w:rsidR="00051D7B" w:rsidRPr="00F06DBB" w14:paraId="2E140622" w14:textId="77777777" w:rsidTr="007D21D4">
        <w:trPr>
          <w:trHeight w:val="340"/>
        </w:trPr>
        <w:tc>
          <w:tcPr>
            <w:tcW w:w="2235" w:type="dxa"/>
          </w:tcPr>
          <w:p w14:paraId="3CBCD20C" w14:textId="3AA0DB9A" w:rsidR="00051D7B" w:rsidRDefault="00E9218C" w:rsidP="00342337">
            <w:pPr>
              <w:pStyle w:val="TableBody"/>
            </w:pPr>
            <w:r w:rsidRPr="00E9218C">
              <w:t>EPBC Act Policy Statement 1.1 – Significant Impact Guidelines – Matters of National Environmental Significance (2013)</w:t>
            </w:r>
          </w:p>
        </w:tc>
        <w:tc>
          <w:tcPr>
            <w:tcW w:w="1417" w:type="dxa"/>
          </w:tcPr>
          <w:p w14:paraId="32D2E675" w14:textId="48158780" w:rsidR="00051D7B" w:rsidRPr="00F06DBB" w:rsidRDefault="00E9218C" w:rsidP="00342337">
            <w:pPr>
              <w:pStyle w:val="TableBody"/>
            </w:pPr>
            <w:r>
              <w:t>DoE</w:t>
            </w:r>
          </w:p>
        </w:tc>
        <w:tc>
          <w:tcPr>
            <w:tcW w:w="5628" w:type="dxa"/>
          </w:tcPr>
          <w:p w14:paraId="5FDFF703" w14:textId="274415CA" w:rsidR="00051D7B" w:rsidRPr="00F06DBB" w:rsidRDefault="00E9218C" w:rsidP="00342337">
            <w:pPr>
              <w:pStyle w:val="TableBody"/>
            </w:pPr>
            <w:r w:rsidRPr="00E9218C">
              <w:t>Provides overarching guidance on determining whether an action is likely to have a significant impact on a matter protected under national environment law — the EPBC Act.</w:t>
            </w:r>
          </w:p>
        </w:tc>
      </w:tr>
      <w:tr w:rsidR="00E9218C" w:rsidRPr="00F06DBB" w14:paraId="738B5925" w14:textId="77777777" w:rsidTr="007D21D4">
        <w:trPr>
          <w:trHeight w:val="340"/>
        </w:trPr>
        <w:tc>
          <w:tcPr>
            <w:tcW w:w="2235" w:type="dxa"/>
          </w:tcPr>
          <w:p w14:paraId="513C0A3C" w14:textId="24512A1A" w:rsidR="00E9218C" w:rsidRDefault="00E9218C" w:rsidP="00E9218C">
            <w:pPr>
              <w:pStyle w:val="TableBody"/>
            </w:pPr>
            <w:r w:rsidRPr="00E9218C">
              <w:t>EPBC Act Policy Statement 1.2 – Significant Impact Guidelines – Actions on, or impacting upon, Commonwealth land, and actions by Commonwealth agencies (2006)</w:t>
            </w:r>
          </w:p>
        </w:tc>
        <w:tc>
          <w:tcPr>
            <w:tcW w:w="1417" w:type="dxa"/>
          </w:tcPr>
          <w:p w14:paraId="07618F5E" w14:textId="41CB037A" w:rsidR="00E9218C" w:rsidRPr="00F06DBB" w:rsidRDefault="00E9218C" w:rsidP="00342337">
            <w:pPr>
              <w:pStyle w:val="TableBody"/>
            </w:pPr>
            <w:r>
              <w:t>DoE</w:t>
            </w:r>
          </w:p>
        </w:tc>
        <w:tc>
          <w:tcPr>
            <w:tcW w:w="5628" w:type="dxa"/>
          </w:tcPr>
          <w:p w14:paraId="23BF5BB2" w14:textId="77777777" w:rsidR="00E9218C" w:rsidRDefault="00E9218C" w:rsidP="00DD7873">
            <w:pPr>
              <w:pStyle w:val="TableBody"/>
            </w:pPr>
            <w:r>
              <w:t>Applies to:</w:t>
            </w:r>
          </w:p>
          <w:p w14:paraId="7F2D87F0" w14:textId="77777777" w:rsidR="00E9218C" w:rsidRDefault="00E9218C" w:rsidP="00E9218C">
            <w:pPr>
              <w:pStyle w:val="Bullets-TechSpecs"/>
            </w:pPr>
            <w:r>
              <w:t>any person who proposes to take an action which is either situated on Commonwealth land or which may impact on Commonwealth land, and/or</w:t>
            </w:r>
          </w:p>
          <w:p w14:paraId="44C5CE62" w14:textId="10C4FEF2" w:rsidR="00E9218C" w:rsidRPr="00F06DBB" w:rsidRDefault="00E9218C" w:rsidP="00E9218C">
            <w:pPr>
              <w:pStyle w:val="Bullets-TechSpecs"/>
            </w:pPr>
            <w:proofErr w:type="gramStart"/>
            <w:r>
              <w:t>representatives</w:t>
            </w:r>
            <w:proofErr w:type="gramEnd"/>
            <w:r>
              <w:t xml:space="preserve"> of Commonwealth agencies who propose to take an action that may impact on the environment anywhere in the world.</w:t>
            </w:r>
          </w:p>
        </w:tc>
      </w:tr>
      <w:tr w:rsidR="00E9218C" w:rsidRPr="00F06DBB" w14:paraId="4410AF10" w14:textId="77777777" w:rsidTr="007D21D4">
        <w:trPr>
          <w:trHeight w:val="340"/>
        </w:trPr>
        <w:tc>
          <w:tcPr>
            <w:tcW w:w="2235" w:type="dxa"/>
          </w:tcPr>
          <w:p w14:paraId="2CFE69F0" w14:textId="7CF28C28" w:rsidR="00E9218C" w:rsidRPr="00E9218C" w:rsidRDefault="00E9218C" w:rsidP="00E9218C">
            <w:pPr>
              <w:pStyle w:val="TableBody"/>
            </w:pPr>
            <w:r w:rsidRPr="00E9218C">
              <w:t xml:space="preserve">Ask First: A guide to respecting </w:t>
            </w:r>
            <w:r w:rsidR="001C1E01">
              <w:t>Aboriginal</w:t>
            </w:r>
            <w:r w:rsidRPr="00E9218C">
              <w:t xml:space="preserve"> heritage places and values (2002),</w:t>
            </w:r>
          </w:p>
        </w:tc>
        <w:tc>
          <w:tcPr>
            <w:tcW w:w="1417" w:type="dxa"/>
          </w:tcPr>
          <w:p w14:paraId="3732E46B" w14:textId="1E9BE23B" w:rsidR="00E9218C" w:rsidRDefault="00E9218C" w:rsidP="00342337">
            <w:pPr>
              <w:pStyle w:val="TableBody"/>
            </w:pPr>
            <w:r>
              <w:t>DoE</w:t>
            </w:r>
          </w:p>
        </w:tc>
        <w:tc>
          <w:tcPr>
            <w:tcW w:w="5628" w:type="dxa"/>
          </w:tcPr>
          <w:p w14:paraId="3671BA9B" w14:textId="1282E3C6" w:rsidR="00E9218C" w:rsidRDefault="00E9218C" w:rsidP="00DD7873">
            <w:pPr>
              <w:pStyle w:val="TableBody"/>
            </w:pPr>
            <w:r>
              <w:t>P</w:t>
            </w:r>
            <w:r w:rsidRPr="00E9218C">
              <w:t xml:space="preserve">rovides a practical guide for land developers, land users and managers, cultural heritage professionals and many others who may have an impact on </w:t>
            </w:r>
            <w:r w:rsidR="001C1E01">
              <w:t>Aboriginal</w:t>
            </w:r>
            <w:r w:rsidRPr="00E9218C">
              <w:t xml:space="preserve"> heritage. Is intended to ensure that the rights an</w:t>
            </w:r>
            <w:r>
              <w:t>d</w:t>
            </w:r>
            <w:r w:rsidRPr="00E9218C">
              <w:t xml:space="preserve"> interests of </w:t>
            </w:r>
            <w:r w:rsidR="001C1E01">
              <w:t>Aboriginal</w:t>
            </w:r>
            <w:r w:rsidRPr="00E9218C">
              <w:t xml:space="preserve"> people in maintaining their heritage is accepted and respected.</w:t>
            </w:r>
          </w:p>
        </w:tc>
      </w:tr>
      <w:tr w:rsidR="002F17B1" w:rsidRPr="00F06DBB" w14:paraId="4581789C" w14:textId="77777777" w:rsidTr="007D21D4">
        <w:trPr>
          <w:trHeight w:val="340"/>
        </w:trPr>
        <w:tc>
          <w:tcPr>
            <w:tcW w:w="2235" w:type="dxa"/>
          </w:tcPr>
          <w:p w14:paraId="52CDA564" w14:textId="157A43F4" w:rsidR="002F17B1" w:rsidRPr="00E9218C" w:rsidRDefault="002F17B1" w:rsidP="00E9218C">
            <w:pPr>
              <w:pStyle w:val="TableBody"/>
            </w:pPr>
            <w:r w:rsidRPr="002F17B1">
              <w:t>Heritage Strategy (2005)</w:t>
            </w:r>
          </w:p>
        </w:tc>
        <w:tc>
          <w:tcPr>
            <w:tcW w:w="1417" w:type="dxa"/>
          </w:tcPr>
          <w:p w14:paraId="364EDB61" w14:textId="6FF7A4CB" w:rsidR="002F17B1" w:rsidRDefault="002F17B1" w:rsidP="00342337">
            <w:pPr>
              <w:pStyle w:val="TableBody"/>
            </w:pPr>
            <w:r>
              <w:t>DI&amp;RD</w:t>
            </w:r>
          </w:p>
        </w:tc>
        <w:tc>
          <w:tcPr>
            <w:tcW w:w="5628" w:type="dxa"/>
          </w:tcPr>
          <w:p w14:paraId="0A42F36E" w14:textId="2E32DA90" w:rsidR="002F17B1" w:rsidRDefault="002F17B1" w:rsidP="00DD7873">
            <w:pPr>
              <w:pStyle w:val="TableBody"/>
            </w:pPr>
            <w:r w:rsidRPr="002F17B1">
              <w:t>Prepared under Section 341ZA of the EPBC Act to guide management of heritage values of the Department’s assets. At the time of preparation of this report, the Strategy was under review by the Department.</w:t>
            </w:r>
          </w:p>
        </w:tc>
      </w:tr>
    </w:tbl>
    <w:p w14:paraId="43E7CE96" w14:textId="77777777" w:rsidR="00051D7B" w:rsidRDefault="00051D7B" w:rsidP="00051D7B">
      <w:pPr>
        <w:pStyle w:val="BodyText"/>
      </w:pPr>
    </w:p>
    <w:p w14:paraId="0EC398A3" w14:textId="77777777" w:rsidR="00350B55" w:rsidRDefault="00350B55" w:rsidP="00350B55">
      <w:pPr>
        <w:pStyle w:val="Heading3"/>
      </w:pPr>
      <w:r>
        <w:t>New South Wales</w:t>
      </w:r>
    </w:p>
    <w:p w14:paraId="00C36EA6" w14:textId="5F5131D6" w:rsidR="00350B55" w:rsidRDefault="00592437" w:rsidP="005613AC">
      <w:pPr>
        <w:pStyle w:val="Subheading"/>
      </w:pPr>
      <w:r>
        <w:t>National Parks and Wildlife Act 1974</w:t>
      </w:r>
    </w:p>
    <w:p w14:paraId="3BA9DB3D" w14:textId="77777777" w:rsidR="00D54B04" w:rsidRDefault="00D54B04" w:rsidP="00D54B04">
      <w:pPr>
        <w:pStyle w:val="BodyText"/>
      </w:pPr>
      <w:r>
        <w:t xml:space="preserve">The </w:t>
      </w:r>
      <w:r w:rsidRPr="00D54B04">
        <w:rPr>
          <w:i/>
        </w:rPr>
        <w:t>National Parks and Wildlife Act 1974</w:t>
      </w:r>
      <w:r>
        <w:t xml:space="preserve"> (NPW Act) sets out the requirements for the conservation of nature, ecosystems, biological diversity, landscapes and landforms and objects, places or features of cultural value within the landscape. The NPW Act sets out the responsibilities for the management of national parks.</w:t>
      </w:r>
    </w:p>
    <w:p w14:paraId="688C5150" w14:textId="47A2C37E" w:rsidR="00DD7873" w:rsidRDefault="00DD7873" w:rsidP="00DD7873">
      <w:pPr>
        <w:pStyle w:val="BodyText"/>
      </w:pPr>
      <w:r>
        <w:t>Under the provisions of the NPW Act, the Director-General of NPWS</w:t>
      </w:r>
      <w:r w:rsidR="00183087">
        <w:t xml:space="preserve"> (</w:t>
      </w:r>
      <w:r>
        <w:t xml:space="preserve">now part of OEH) is responsible for the care, control and management of all national parks, historic sites, nature reserves, state conservation areas, karst conservation reserves and regional parks. The Director-General is also responsible, under this legislation, for the protection and care of native fauna and flora, and Aboriginal places and objects throughout NSW. </w:t>
      </w:r>
    </w:p>
    <w:p w14:paraId="6939916A" w14:textId="5C59FEAF" w:rsidR="00DD7873" w:rsidRDefault="00DD7873" w:rsidP="00DD7873">
      <w:pPr>
        <w:pStyle w:val="BodyText"/>
      </w:pPr>
      <w:r>
        <w:t>All Aboriginal Objects are protected under the NPW Act regardless of their significance or land tenure. Aboriginal Objects can include pre-contact features such as scarred trees, middens and open camp sites, as well as physical evidence of post-contact use of the area such as Aboriginal fringe camps. The NPW Act also protects Aboriginal Places which are defined as a place that 'is or was of special significance with respect to Aboriginal culture'. Aboriginal Places can only be declared by the Minister administering the NPW Act.</w:t>
      </w:r>
    </w:p>
    <w:p w14:paraId="1E58B504" w14:textId="76991304" w:rsidR="00E9218C" w:rsidRDefault="00DD7873" w:rsidP="00350B55">
      <w:pPr>
        <w:pStyle w:val="BodyText"/>
      </w:pPr>
      <w:r w:rsidRPr="00DD7873">
        <w:t xml:space="preserve">Under Section 90 of the </w:t>
      </w:r>
      <w:r>
        <w:t xml:space="preserve">NPW </w:t>
      </w:r>
      <w:r w:rsidRPr="00DD7873">
        <w:t>Act, it is an offence for a person to destroy, deface, damage or desecrate an Aboriginal Object or Aboriginal Place without the prior issue of an Aboriginal Heritage Impact Permit (AHIP). The Act requires a person to take reasonable precautions and due diligence to avoid</w:t>
      </w:r>
      <w:r>
        <w:t xml:space="preserve"> impacts on Aboriginal Objects.</w:t>
      </w:r>
    </w:p>
    <w:p w14:paraId="4C25205C" w14:textId="746A15F0" w:rsidR="00E9218C" w:rsidRDefault="00DD7873" w:rsidP="00350B55">
      <w:pPr>
        <w:pStyle w:val="BodyText"/>
      </w:pPr>
      <w:r w:rsidRPr="00DD7873">
        <w:t xml:space="preserve">The </w:t>
      </w:r>
      <w:r w:rsidRPr="00DD7873">
        <w:rPr>
          <w:i/>
        </w:rPr>
        <w:t>National Parks and Wildlife Amendment Regulation 2010</w:t>
      </w:r>
      <w:r w:rsidRPr="00DD7873">
        <w:t xml:space="preserve"> commenced on 1 October 2010. This Regulation excludes activities carried out in accordance with the </w:t>
      </w:r>
      <w:r w:rsidRPr="00DD7873">
        <w:rPr>
          <w:i/>
        </w:rPr>
        <w:t>Code of Practice for Archaeological Investigation of Aboriginal Objects in NSW</w:t>
      </w:r>
      <w:r w:rsidRPr="00DD7873">
        <w:t xml:space="preserve"> (DECCW 2010</w:t>
      </w:r>
      <w:r w:rsidR="00BC5DFA">
        <w:t>c</w:t>
      </w:r>
      <w:r w:rsidRPr="00DD7873">
        <w:t>) from the definition of harm in the NPW Act. That is, test excavations may be carried out in accordance with this Code of Practice, without requiring an AHIP.</w:t>
      </w:r>
    </w:p>
    <w:p w14:paraId="7DEB9EC7" w14:textId="77777777" w:rsidR="00DD7873" w:rsidRDefault="00DD7873" w:rsidP="005613AC">
      <w:pPr>
        <w:pStyle w:val="Subheading"/>
      </w:pPr>
      <w:r>
        <w:t>Heritage Act 1977</w:t>
      </w:r>
    </w:p>
    <w:p w14:paraId="47575552" w14:textId="5DB946B2" w:rsidR="00E9218C" w:rsidRDefault="00DD7873" w:rsidP="00DD7873">
      <w:pPr>
        <w:pStyle w:val="BodyText"/>
      </w:pPr>
      <w:r>
        <w:t xml:space="preserve">The </w:t>
      </w:r>
      <w:r w:rsidRPr="00DD7873">
        <w:rPr>
          <w:i/>
        </w:rPr>
        <w:t>Heritage Act 1977</w:t>
      </w:r>
      <w:r>
        <w:t xml:space="preserve"> provides protection for heritage places, buildings, works, moveable objects, precincts and archaeological sites that are important to the people of NSW. These include items of Aboriginal and non-Aboriginal heritage significance. Where these items have particular importance to the State of NSW, they are listed on the SHR.</w:t>
      </w:r>
    </w:p>
    <w:p w14:paraId="2772A749" w14:textId="748872E0" w:rsidR="00051D7B" w:rsidRDefault="00051D7B" w:rsidP="005613AC">
      <w:pPr>
        <w:pStyle w:val="Subheading"/>
      </w:pPr>
      <w:r>
        <w:t>Guidelines</w:t>
      </w:r>
    </w:p>
    <w:p w14:paraId="45A1B225" w14:textId="020D41A4" w:rsidR="007A4848" w:rsidRDefault="003B020D" w:rsidP="00350B55">
      <w:pPr>
        <w:pStyle w:val="BodyText"/>
      </w:pPr>
      <w:r w:rsidRPr="003B020D">
        <w:t xml:space="preserve">NSW guidelines and strategies related to </w:t>
      </w:r>
      <w:r>
        <w:t>Aboriginal</w:t>
      </w:r>
      <w:r w:rsidRPr="003B020D">
        <w:t xml:space="preserve"> heritage that are of likely or potential relevance to the study area are listed in the following table with comment provided on the nature of their relevance.</w:t>
      </w:r>
    </w:p>
    <w:p w14:paraId="5E74AF1C" w14:textId="3B4C63CA" w:rsidR="007D21D4" w:rsidRDefault="007D21D4" w:rsidP="007D21D4">
      <w:pPr>
        <w:pStyle w:val="Caption"/>
        <w:keepNext/>
        <w:ind w:left="1134" w:hanging="1134"/>
      </w:pPr>
      <w:bookmarkStart w:id="61" w:name="_Toc402442845"/>
      <w:proofErr w:type="gramStart"/>
      <w:r>
        <w:t xml:space="preserve">Table </w:t>
      </w:r>
      <w:fldSimple w:instr=" STYLEREF 1 \s ">
        <w:r w:rsidR="004E469D">
          <w:rPr>
            <w:noProof/>
          </w:rPr>
          <w:t>4</w:t>
        </w:r>
      </w:fldSimple>
      <w:r w:rsidR="00EF76BA">
        <w:t>.</w:t>
      </w:r>
      <w:proofErr w:type="gramEnd"/>
      <w:r w:rsidR="001C525C">
        <w:fldChar w:fldCharType="begin"/>
      </w:r>
      <w:r w:rsidR="001C525C">
        <w:instrText xml:space="preserve"> SEQ Table \* ARABIC \s 1 </w:instrText>
      </w:r>
      <w:r w:rsidR="001C525C">
        <w:fldChar w:fldCharType="separate"/>
      </w:r>
      <w:r w:rsidR="004E469D">
        <w:rPr>
          <w:noProof/>
        </w:rPr>
        <w:t>2</w:t>
      </w:r>
      <w:r w:rsidR="001C525C">
        <w:rPr>
          <w:noProof/>
        </w:rPr>
        <w:fldChar w:fldCharType="end"/>
      </w:r>
      <w:r>
        <w:tab/>
        <w:t>NSW guidelines and strategies related to Aboriginal heritage</w:t>
      </w:r>
      <w:bookmarkEnd w:id="61"/>
    </w:p>
    <w:tbl>
      <w:tblPr>
        <w:tblStyle w:val="TableGrid"/>
        <w:tblW w:w="9280" w:type="dxa"/>
        <w:tblBorders>
          <w:bottom w:val="single" w:sz="4" w:space="0" w:color="auto"/>
        </w:tblBorders>
        <w:tblLook w:val="04A0" w:firstRow="1" w:lastRow="0" w:firstColumn="1" w:lastColumn="0" w:noHBand="0" w:noVBand="1"/>
        <w:tblCaption w:val="Table 4.2 NSW guidelines and strategies related to Aboriginal heritage"/>
        <w:tblDescription w:val="Table 4.2 NSW guidelines and strategies related to Aboriginal heritage"/>
      </w:tblPr>
      <w:tblGrid>
        <w:gridCol w:w="2376"/>
        <w:gridCol w:w="1134"/>
        <w:gridCol w:w="5770"/>
      </w:tblGrid>
      <w:tr w:rsidR="00051D7B" w:rsidRPr="007A4848" w14:paraId="2FE86F08" w14:textId="77777777" w:rsidTr="005241F5">
        <w:trPr>
          <w:trHeight w:val="340"/>
          <w:tblHeader/>
        </w:trPr>
        <w:tc>
          <w:tcPr>
            <w:tcW w:w="2376" w:type="dxa"/>
          </w:tcPr>
          <w:p w14:paraId="32958F0C" w14:textId="77777777" w:rsidR="00051D7B" w:rsidRPr="007A4848" w:rsidRDefault="00051D7B" w:rsidP="00342337">
            <w:pPr>
              <w:pStyle w:val="TableHeader"/>
            </w:pPr>
            <w:r w:rsidRPr="007A4848">
              <w:t>Guideline</w:t>
            </w:r>
            <w:r>
              <w:t>/Strategy</w:t>
            </w:r>
          </w:p>
        </w:tc>
        <w:tc>
          <w:tcPr>
            <w:tcW w:w="1134" w:type="dxa"/>
          </w:tcPr>
          <w:p w14:paraId="2E9D81D2" w14:textId="77777777" w:rsidR="00051D7B" w:rsidRPr="007A4848" w:rsidRDefault="00051D7B" w:rsidP="00342337">
            <w:pPr>
              <w:pStyle w:val="TableHeader"/>
            </w:pPr>
            <w:r w:rsidRPr="007A4848">
              <w:t>Agency</w:t>
            </w:r>
          </w:p>
        </w:tc>
        <w:tc>
          <w:tcPr>
            <w:tcW w:w="5770" w:type="dxa"/>
          </w:tcPr>
          <w:p w14:paraId="6B8A338C" w14:textId="77777777" w:rsidR="00051D7B" w:rsidRPr="007A4848" w:rsidRDefault="00051D7B" w:rsidP="00342337">
            <w:pPr>
              <w:pStyle w:val="TableHeader"/>
            </w:pPr>
            <w:r w:rsidRPr="007A4848">
              <w:t>Comment</w:t>
            </w:r>
          </w:p>
        </w:tc>
      </w:tr>
      <w:tr w:rsidR="00051D7B" w:rsidRPr="00F06DBB" w14:paraId="0331A53C" w14:textId="77777777" w:rsidTr="00BC5DFA">
        <w:trPr>
          <w:trHeight w:val="340"/>
        </w:trPr>
        <w:tc>
          <w:tcPr>
            <w:tcW w:w="2376" w:type="dxa"/>
          </w:tcPr>
          <w:p w14:paraId="02F85269" w14:textId="017ED1D1" w:rsidR="00051D7B" w:rsidRPr="00F06DBB" w:rsidRDefault="00DD7873" w:rsidP="00342337">
            <w:pPr>
              <w:pStyle w:val="TableBody"/>
            </w:pPr>
            <w:r w:rsidRPr="00DD7873">
              <w:t>Code of Practice for Archaeological Investigation of Aboriginal Objects in NSW (2010)</w:t>
            </w:r>
          </w:p>
        </w:tc>
        <w:tc>
          <w:tcPr>
            <w:tcW w:w="1134" w:type="dxa"/>
          </w:tcPr>
          <w:p w14:paraId="0B7E4B15" w14:textId="7943FC70" w:rsidR="00051D7B" w:rsidRPr="00F06DBB" w:rsidRDefault="00DD7873" w:rsidP="00342337">
            <w:pPr>
              <w:pStyle w:val="TableBody"/>
            </w:pPr>
            <w:r>
              <w:t>OEH</w:t>
            </w:r>
          </w:p>
        </w:tc>
        <w:tc>
          <w:tcPr>
            <w:tcW w:w="5770" w:type="dxa"/>
          </w:tcPr>
          <w:p w14:paraId="07131C4F" w14:textId="15F522F8" w:rsidR="00051D7B" w:rsidRPr="00F06DBB" w:rsidRDefault="00DD7873" w:rsidP="00342337">
            <w:pPr>
              <w:pStyle w:val="TableBody"/>
            </w:pPr>
            <w:r w:rsidRPr="00DD7873">
              <w:t>This Code has been developed to support the process of investigating and assessing Aboriginal cultural heritage. It specifies the minimum standards for archaeological investigation undertaken in NSW under the NPW Act. An Aboriginal cultural heritage assessment that requires an archaeological investigation to be undertaken must be done in accordance with the requirements of this Code</w:t>
            </w:r>
          </w:p>
        </w:tc>
      </w:tr>
      <w:tr w:rsidR="00051D7B" w:rsidRPr="00F06DBB" w14:paraId="18F6BC5E" w14:textId="77777777" w:rsidTr="00BC5DFA">
        <w:trPr>
          <w:trHeight w:val="340"/>
        </w:trPr>
        <w:tc>
          <w:tcPr>
            <w:tcW w:w="2376" w:type="dxa"/>
          </w:tcPr>
          <w:p w14:paraId="229CAF44" w14:textId="16CC05E1" w:rsidR="00051D7B" w:rsidRDefault="00DD7873" w:rsidP="00342337">
            <w:pPr>
              <w:pStyle w:val="TableBody"/>
            </w:pPr>
            <w:r w:rsidRPr="00DD7873">
              <w:t>Due Diligence Code of Practice for the Protection of Aboriginal Objects in New South Wales (2010)</w:t>
            </w:r>
          </w:p>
        </w:tc>
        <w:tc>
          <w:tcPr>
            <w:tcW w:w="1134" w:type="dxa"/>
          </w:tcPr>
          <w:p w14:paraId="6FFC86AE" w14:textId="2C0A3E50" w:rsidR="00051D7B" w:rsidRPr="00F06DBB" w:rsidRDefault="00DD7873" w:rsidP="00342337">
            <w:pPr>
              <w:pStyle w:val="TableBody"/>
            </w:pPr>
            <w:r>
              <w:t>OEH</w:t>
            </w:r>
          </w:p>
        </w:tc>
        <w:tc>
          <w:tcPr>
            <w:tcW w:w="5770" w:type="dxa"/>
          </w:tcPr>
          <w:p w14:paraId="45C7B1A4" w14:textId="69EBB792" w:rsidR="00051D7B" w:rsidRPr="00F06DBB" w:rsidRDefault="00DD7873" w:rsidP="00DD7873">
            <w:pPr>
              <w:pStyle w:val="TableBody"/>
            </w:pPr>
            <w:r w:rsidRPr="00DD7873">
              <w:t>This Code is to assist individuals and organisations to exercise due diligence when carrying out activities that may harm Aboriginal objects and to determine whether they should apply for consent in the form of an AHIP</w:t>
            </w:r>
            <w:r>
              <w:t>.</w:t>
            </w:r>
          </w:p>
        </w:tc>
      </w:tr>
      <w:tr w:rsidR="00051D7B" w:rsidRPr="00F06DBB" w14:paraId="7DF96CA5" w14:textId="77777777" w:rsidTr="00BC5DFA">
        <w:trPr>
          <w:trHeight w:val="340"/>
        </w:trPr>
        <w:tc>
          <w:tcPr>
            <w:tcW w:w="2376" w:type="dxa"/>
          </w:tcPr>
          <w:p w14:paraId="4CA5292E" w14:textId="2D39D835" w:rsidR="00051D7B" w:rsidRDefault="00DD7873" w:rsidP="00342337">
            <w:pPr>
              <w:pStyle w:val="TableBody"/>
            </w:pPr>
            <w:r w:rsidRPr="00DD7873">
              <w:t>Aboriginal Cultural Heritage Consultation Requirements for Proponents (2010)</w:t>
            </w:r>
          </w:p>
        </w:tc>
        <w:tc>
          <w:tcPr>
            <w:tcW w:w="1134" w:type="dxa"/>
          </w:tcPr>
          <w:p w14:paraId="7729AB0A" w14:textId="1F2829EB" w:rsidR="00051D7B" w:rsidRPr="00F06DBB" w:rsidRDefault="00DD7873" w:rsidP="00342337">
            <w:pPr>
              <w:pStyle w:val="TableBody"/>
            </w:pPr>
            <w:r>
              <w:t>OEH</w:t>
            </w:r>
          </w:p>
        </w:tc>
        <w:tc>
          <w:tcPr>
            <w:tcW w:w="5770" w:type="dxa"/>
          </w:tcPr>
          <w:p w14:paraId="2A0A9EC9" w14:textId="04806C1E" w:rsidR="00DD7873" w:rsidRDefault="00DD7873" w:rsidP="00DD7873">
            <w:pPr>
              <w:pStyle w:val="TableBody"/>
            </w:pPr>
            <w:r>
              <w:t>Focuses on the requirements for consultation with Aboriginal people as part of the heritage assessment process:</w:t>
            </w:r>
          </w:p>
          <w:p w14:paraId="747A4023" w14:textId="0C6B50E0" w:rsidR="00DD7873" w:rsidRDefault="00DD7873" w:rsidP="00DD7873">
            <w:pPr>
              <w:pStyle w:val="Bullets-TechSpecs"/>
            </w:pPr>
            <w:r>
              <w:t>to determine potential harm on Aboriginal cultural heritage from proposed activities</w:t>
            </w:r>
          </w:p>
          <w:p w14:paraId="14939CF7" w14:textId="0343826C" w:rsidR="00051D7B" w:rsidRPr="00F06DBB" w:rsidRDefault="00DD7873" w:rsidP="00DD7873">
            <w:pPr>
              <w:pStyle w:val="Bullets-TechSpecs"/>
            </w:pPr>
            <w:proofErr w:type="gramStart"/>
            <w:r>
              <w:t>that</w:t>
            </w:r>
            <w:proofErr w:type="gramEnd"/>
            <w:r>
              <w:t xml:space="preserve"> informs decision making for any application for an AHIP where it is determined harm cannot be avoided.</w:t>
            </w:r>
          </w:p>
        </w:tc>
      </w:tr>
      <w:tr w:rsidR="002F17B1" w:rsidRPr="00F06DBB" w14:paraId="576368EF" w14:textId="77777777" w:rsidTr="00BC5DFA">
        <w:trPr>
          <w:trHeight w:val="340"/>
        </w:trPr>
        <w:tc>
          <w:tcPr>
            <w:tcW w:w="2376" w:type="dxa"/>
          </w:tcPr>
          <w:p w14:paraId="0E3143DE" w14:textId="262C3776" w:rsidR="002F17B1" w:rsidRPr="00DD7873" w:rsidRDefault="002F17B1" w:rsidP="002F17B1">
            <w:pPr>
              <w:pStyle w:val="TableBody"/>
            </w:pPr>
            <w:r w:rsidRPr="002F17B1">
              <w:t>Guide to investigating, assessing and reporting on Aboriginal cultural heritage in NSW (2010)</w:t>
            </w:r>
          </w:p>
        </w:tc>
        <w:tc>
          <w:tcPr>
            <w:tcW w:w="1134" w:type="dxa"/>
          </w:tcPr>
          <w:p w14:paraId="13054C6E" w14:textId="34E5A48B" w:rsidR="002F17B1" w:rsidRDefault="002F17B1" w:rsidP="00342337">
            <w:pPr>
              <w:pStyle w:val="TableBody"/>
            </w:pPr>
            <w:r>
              <w:t>OEH</w:t>
            </w:r>
          </w:p>
        </w:tc>
        <w:tc>
          <w:tcPr>
            <w:tcW w:w="5770" w:type="dxa"/>
          </w:tcPr>
          <w:p w14:paraId="4D51D4F4" w14:textId="19AFACF8" w:rsidR="002F17B1" w:rsidRDefault="002F17B1" w:rsidP="00DD7873">
            <w:pPr>
              <w:pStyle w:val="TableBody"/>
            </w:pPr>
            <w:r>
              <w:t>P</w:t>
            </w:r>
            <w:r w:rsidRPr="002F17B1">
              <w:t>rovides best practice guidance for investigating and assessing Aboriginal cultural heritage in NSW, and outlines OEH’s requirements for Aboriginal cultural heritage reporting in NSW</w:t>
            </w:r>
            <w:r>
              <w:t>.</w:t>
            </w:r>
          </w:p>
        </w:tc>
      </w:tr>
    </w:tbl>
    <w:p w14:paraId="673C20BD" w14:textId="77777777" w:rsidR="007A4848" w:rsidRDefault="007A4848" w:rsidP="00350B55">
      <w:pPr>
        <w:pStyle w:val="BodyText"/>
      </w:pPr>
    </w:p>
    <w:p w14:paraId="21A33977" w14:textId="77777777" w:rsidR="00382766" w:rsidRDefault="00382766" w:rsidP="00382766">
      <w:pPr>
        <w:pStyle w:val="Heading2"/>
      </w:pPr>
      <w:bookmarkStart w:id="62" w:name="_Toc400720086"/>
      <w:r>
        <w:t>Survey methodology</w:t>
      </w:r>
      <w:bookmarkEnd w:id="62"/>
    </w:p>
    <w:p w14:paraId="14F1085D" w14:textId="03514CA7" w:rsidR="00C949A2" w:rsidRDefault="00C949A2" w:rsidP="00C949A2">
      <w:pPr>
        <w:pStyle w:val="BodyText"/>
      </w:pPr>
      <w:r>
        <w:t xml:space="preserve">The Aboriginal heritage survey </w:t>
      </w:r>
      <w:r w:rsidR="00F25067">
        <w:t>was</w:t>
      </w:r>
      <w:r>
        <w:t xml:space="preserve"> prepared with reference to the principles of the Burra Charter, the Code of Practice for Archaeological Investigation of Aboriginal Objects in New South Wales (DECCW 2010</w:t>
      </w:r>
      <w:r w:rsidR="00BC5DFA">
        <w:t>c</w:t>
      </w:r>
      <w:r>
        <w:t>) and Due Diligence Code of Practice for the Protection of Aboriginal Objects in New South Wales (DECCW 2010</w:t>
      </w:r>
      <w:r w:rsidR="00BC5DFA">
        <w:t>d</w:t>
      </w:r>
      <w:r>
        <w:t>).</w:t>
      </w:r>
    </w:p>
    <w:p w14:paraId="7DDA8676" w14:textId="59336E17" w:rsidR="00C949A2" w:rsidRDefault="00C949A2" w:rsidP="00C949A2">
      <w:pPr>
        <w:pStyle w:val="BodyText"/>
      </w:pPr>
      <w:r>
        <w:t>To fulfil the requirements of the investigation, the following tasks were undertaken:</w:t>
      </w:r>
    </w:p>
    <w:p w14:paraId="4365634A" w14:textId="027278A3" w:rsidR="00C949A2" w:rsidRDefault="00183087" w:rsidP="00C949A2">
      <w:pPr>
        <w:pStyle w:val="ListBullet"/>
      </w:pPr>
      <w:r>
        <w:t>s</w:t>
      </w:r>
      <w:r w:rsidR="00C949A2">
        <w:t xml:space="preserve">earch and review of the OEH Aboriginal Heritage Information Management System (AHIMS) database, to determine the location and nature of any Aboriginal heritage sites recorded within, or in </w:t>
      </w:r>
      <w:r>
        <w:t>the vicinity of, the study area</w:t>
      </w:r>
    </w:p>
    <w:p w14:paraId="239EE27B" w14:textId="6F358BCC" w:rsidR="00C949A2" w:rsidRDefault="00183087" w:rsidP="00C949A2">
      <w:pPr>
        <w:pStyle w:val="ListBullet"/>
      </w:pPr>
      <w:r>
        <w:t>r</w:t>
      </w:r>
      <w:r w:rsidR="00C949A2">
        <w:t>eview of relevant previous archaeological reports specific to the area, to determine the extent of past Aboriginal archae</w:t>
      </w:r>
      <w:r>
        <w:t>ological research in the region</w:t>
      </w:r>
    </w:p>
    <w:p w14:paraId="21633EEF" w14:textId="21227613" w:rsidR="00C949A2" w:rsidRDefault="00183087" w:rsidP="00C949A2">
      <w:pPr>
        <w:pStyle w:val="ListBullet"/>
      </w:pPr>
      <w:r>
        <w:t>r</w:t>
      </w:r>
      <w:r w:rsidR="00C949A2">
        <w:t>eview of relevant contextual environmental informatio</w:t>
      </w:r>
      <w:r>
        <w:t>n and previous land use history</w:t>
      </w:r>
    </w:p>
    <w:p w14:paraId="77721DC7" w14:textId="0A40A4C5" w:rsidR="00C949A2" w:rsidRDefault="00183087" w:rsidP="00C949A2">
      <w:pPr>
        <w:pStyle w:val="ListBullet"/>
      </w:pPr>
      <w:r>
        <w:t>T</w:t>
      </w:r>
      <w:r w:rsidR="00C949A2">
        <w:t xml:space="preserve">argeted survey of the 21 </w:t>
      </w:r>
      <w:r w:rsidR="001C1E01">
        <w:t>Aboriginal</w:t>
      </w:r>
      <w:r w:rsidR="00C949A2">
        <w:t xml:space="preserve"> heritage sites identified within areas of moderate and high archaeological potential was undertaken by AM Consulting archaeologists on 22</w:t>
      </w:r>
      <w:r w:rsidR="00641C57">
        <w:noBreakHyphen/>
      </w:r>
      <w:r w:rsidR="00C949A2">
        <w:t>2</w:t>
      </w:r>
      <w:r w:rsidR="00641C57">
        <w:t>3</w:t>
      </w:r>
      <w:r>
        <w:t xml:space="preserve"> </w:t>
      </w:r>
      <w:r w:rsidR="00641C57">
        <w:t>S</w:t>
      </w:r>
      <w:r w:rsidR="00C949A2">
        <w:t>eptember 2014</w:t>
      </w:r>
      <w:r>
        <w:t xml:space="preserve"> (this </w:t>
      </w:r>
      <w:r w:rsidR="00C949A2">
        <w:t>did not comprise a full archaeological survey of the entire project area</w:t>
      </w:r>
      <w:r w:rsidR="00641C57">
        <w:t xml:space="preserve"> and was limited </w:t>
      </w:r>
      <w:r w:rsidR="00C949A2">
        <w:t>to establish</w:t>
      </w:r>
      <w:r w:rsidR="00641C57">
        <w:t>ing</w:t>
      </w:r>
      <w:r w:rsidR="00C949A2">
        <w:t xml:space="preserve"> the current status and condition of previously recorded </w:t>
      </w:r>
      <w:r w:rsidR="001C1E01">
        <w:t>Aboriginal</w:t>
      </w:r>
      <w:r>
        <w:t xml:space="preserve"> heritage sites)</w:t>
      </w:r>
    </w:p>
    <w:p w14:paraId="6FED5C04" w14:textId="41B05EA1" w:rsidR="00C949A2" w:rsidRDefault="00183087" w:rsidP="00C949A2">
      <w:pPr>
        <w:pStyle w:val="ListBullet"/>
      </w:pPr>
      <w:proofErr w:type="gramStart"/>
      <w:r>
        <w:t>p</w:t>
      </w:r>
      <w:r w:rsidR="00C949A2">
        <w:t>reparation</w:t>
      </w:r>
      <w:proofErr w:type="gramEnd"/>
      <w:r w:rsidR="00C949A2">
        <w:t xml:space="preserve"> of a report describing the results of the background research, the location and extent </w:t>
      </w:r>
      <w:r w:rsidR="00641C57">
        <w:t xml:space="preserve">of </w:t>
      </w:r>
      <w:r w:rsidR="00C949A2">
        <w:t>Aboriginal heritage items recorded in the study area, information gaps and requirements for further investigations to support any future assessments.</w:t>
      </w:r>
    </w:p>
    <w:p w14:paraId="7FF007E6" w14:textId="77777777" w:rsidR="00C949A2" w:rsidRDefault="00C949A2" w:rsidP="00C949A2">
      <w:pPr>
        <w:pStyle w:val="BodyText"/>
      </w:pPr>
      <w:r>
        <w:t>The aims of the targeted survey were to:</w:t>
      </w:r>
    </w:p>
    <w:p w14:paraId="366C0BE6" w14:textId="0DD640E0" w:rsidR="00C949A2" w:rsidRDefault="00183087" w:rsidP="00C949A2">
      <w:pPr>
        <w:pStyle w:val="ListBullet"/>
      </w:pPr>
      <w:r>
        <w:t>c</w:t>
      </w:r>
      <w:r w:rsidR="00C949A2">
        <w:t xml:space="preserve">onfirm the location, condition and extent of the previously recorded </w:t>
      </w:r>
      <w:r w:rsidR="001C1E01">
        <w:t>Aboriginal</w:t>
      </w:r>
      <w:r>
        <w:t xml:space="preserve"> heritage sites</w:t>
      </w:r>
    </w:p>
    <w:p w14:paraId="6A114E71" w14:textId="6F718B86" w:rsidR="00C949A2" w:rsidRDefault="00183087" w:rsidP="00C949A2">
      <w:pPr>
        <w:pStyle w:val="ListBullet"/>
      </w:pPr>
      <w:r>
        <w:t>i</w:t>
      </w:r>
      <w:r w:rsidR="00C949A2">
        <w:t xml:space="preserve">dentify past </w:t>
      </w:r>
      <w:r>
        <w:t>or ongoing impacts to the sites</w:t>
      </w:r>
    </w:p>
    <w:p w14:paraId="34FB47BA" w14:textId="2BA99447" w:rsidR="00C949A2" w:rsidRDefault="00183087" w:rsidP="00C949A2">
      <w:pPr>
        <w:pStyle w:val="ListBullet"/>
      </w:pPr>
      <w:r>
        <w:t>r</w:t>
      </w:r>
      <w:r w:rsidR="00C949A2">
        <w:t>ecord relevant data to allow upda</w:t>
      </w:r>
      <w:r>
        <w:t>ting of AHIMS sites information</w:t>
      </w:r>
    </w:p>
    <w:p w14:paraId="26FB7C05" w14:textId="55FAF1A5" w:rsidR="00C949A2" w:rsidRDefault="00183087" w:rsidP="00C949A2">
      <w:pPr>
        <w:pStyle w:val="ListBullet"/>
      </w:pPr>
      <w:proofErr w:type="gramStart"/>
      <w:r>
        <w:t>d</w:t>
      </w:r>
      <w:r w:rsidR="00C949A2">
        <w:t>evelop</w:t>
      </w:r>
      <w:proofErr w:type="gramEnd"/>
      <w:r w:rsidR="00C949A2">
        <w:t xml:space="preserve"> recommendations for options on how to manage identified </w:t>
      </w:r>
      <w:r w:rsidR="001C1E01">
        <w:t>Aboriginal</w:t>
      </w:r>
      <w:r w:rsidR="00C949A2">
        <w:t xml:space="preserve"> sites, and for any necessary further archaeological assessments.</w:t>
      </w:r>
    </w:p>
    <w:p w14:paraId="6F195582" w14:textId="20A8257E" w:rsidR="00382766" w:rsidRDefault="00C949A2" w:rsidP="00C949A2">
      <w:pPr>
        <w:pStyle w:val="BodyText"/>
      </w:pPr>
      <w:r>
        <w:t xml:space="preserve">Photographs of the study area were taken using </w:t>
      </w:r>
      <w:r w:rsidR="00641C57">
        <w:t xml:space="preserve">a </w:t>
      </w:r>
      <w:r>
        <w:t xml:space="preserve">Fuji </w:t>
      </w:r>
      <w:proofErr w:type="spellStart"/>
      <w:r>
        <w:t>Finepix</w:t>
      </w:r>
      <w:proofErr w:type="spellEnd"/>
      <w:r>
        <w:t xml:space="preserve"> HS 20 EXR digital camera. Site coordinates were recorded using a Garmin Oregon 300 handheld GPS unit. Where </w:t>
      </w:r>
      <w:r w:rsidR="001C1E01">
        <w:t>Aboriginal</w:t>
      </w:r>
      <w:r>
        <w:t xml:space="preserve"> artefacts were encountered, notes were made regarding their type, size, and material; and descriptions of the site were recorded including the environmental setting and details of any disturbance to archaeological material in the site’s vicinity.</w:t>
      </w:r>
    </w:p>
    <w:p w14:paraId="142C5A77" w14:textId="64072D93" w:rsidR="007E62F8" w:rsidRDefault="003B6A45" w:rsidP="007E62F8">
      <w:pPr>
        <w:pStyle w:val="BodyText"/>
      </w:pPr>
      <w:r>
        <w:t xml:space="preserve">In the course of requesting access to site records from the AHIMS, it was noted that there is an OEH policy that if the number of site records requested exceeds 120, then it is necessary to </w:t>
      </w:r>
      <w:r w:rsidR="007E62F8">
        <w:t>apply for an Aboriginal Heritage Information License Agreement (AHILA)</w:t>
      </w:r>
      <w:r>
        <w:t xml:space="preserve">. As part of the application process, </w:t>
      </w:r>
      <w:r w:rsidR="007E62F8">
        <w:t xml:space="preserve">consultation will need to be undertaken with relevant Aboriginal stakeholders which </w:t>
      </w:r>
      <w:r>
        <w:t>would need to be taken into consideration with regard to any project program.</w:t>
      </w:r>
    </w:p>
    <w:p w14:paraId="70887936" w14:textId="38BC5799" w:rsidR="00F25067" w:rsidRDefault="00F25067" w:rsidP="00F25067">
      <w:pPr>
        <w:pStyle w:val="BodyText"/>
      </w:pPr>
      <w:r>
        <w:t>A full description of the methodology is provided in the Aboriginal heritage report included as Appendix D to this report.</w:t>
      </w:r>
    </w:p>
    <w:p w14:paraId="39F258D5" w14:textId="27BD829F" w:rsidR="00382766" w:rsidRDefault="008E395B" w:rsidP="005613AC">
      <w:pPr>
        <w:pStyle w:val="Subheading"/>
      </w:pPr>
      <w:r>
        <w:t>Limitations</w:t>
      </w:r>
    </w:p>
    <w:p w14:paraId="1F3E79D9" w14:textId="5FFED163" w:rsidR="00183087" w:rsidRDefault="00183087" w:rsidP="00183087">
      <w:pPr>
        <w:pStyle w:val="BodyText"/>
      </w:pPr>
      <w:r>
        <w:t>The limitations of the Aboriginal heritage survey are as follows:</w:t>
      </w:r>
    </w:p>
    <w:p w14:paraId="12FD173B" w14:textId="6C4C2E6E" w:rsidR="003530F0" w:rsidRDefault="00EA4750" w:rsidP="003530F0">
      <w:pPr>
        <w:pStyle w:val="ListBullet"/>
      </w:pPr>
      <w:r>
        <w:t>c</w:t>
      </w:r>
      <w:r w:rsidR="003530F0">
        <w:t xml:space="preserve">onstrained timeframe for background review, investigation of additional documentary </w:t>
      </w:r>
      <w:r>
        <w:t>resources and field survey</w:t>
      </w:r>
    </w:p>
    <w:p w14:paraId="1270E071" w14:textId="2028EB4E" w:rsidR="003530F0" w:rsidRDefault="00537F5C" w:rsidP="003530F0">
      <w:pPr>
        <w:pStyle w:val="ListBullet"/>
      </w:pPr>
      <w:r>
        <w:t>t</w:t>
      </w:r>
      <w:r w:rsidR="003530F0">
        <w:t>ime constraints for the field survey has meant that a detailed investigation of each previously identified Aboriginal heritage site within the identified potential and listed heritage item was not possible</w:t>
      </w:r>
      <w:r>
        <w:t>; t</w:t>
      </w:r>
      <w:r w:rsidR="003530F0">
        <w:t>he targeted archaeological survey undertaken for the current investigation inspected 21 Aboriginal sites within zones assessed in the 1997 Draft EIS as having moderate an</w:t>
      </w:r>
      <w:r>
        <w:t>d high archaeological potential</w:t>
      </w:r>
    </w:p>
    <w:p w14:paraId="0F5F16C3" w14:textId="17E3E2C5" w:rsidR="003530F0" w:rsidRDefault="00537F5C" w:rsidP="003530F0">
      <w:pPr>
        <w:pStyle w:val="ListBullet"/>
      </w:pPr>
      <w:r>
        <w:t>c</w:t>
      </w:r>
      <w:r w:rsidR="003530F0">
        <w:t>onsultation with the local Aboriginal community was not part of the investigation scope, and therefore it has not been possible to assess the potential cultural or spiritual significan</w:t>
      </w:r>
      <w:r>
        <w:t>ce of Aboriginal heritage sites</w:t>
      </w:r>
    </w:p>
    <w:p w14:paraId="65F493F5" w14:textId="71251EA0" w:rsidR="007471AD" w:rsidRDefault="00537F5C" w:rsidP="007471AD">
      <w:pPr>
        <w:pStyle w:val="ListBullet"/>
      </w:pPr>
      <w:proofErr w:type="gramStart"/>
      <w:r>
        <w:t>a</w:t>
      </w:r>
      <w:proofErr w:type="gramEnd"/>
      <w:r w:rsidR="003530F0">
        <w:t xml:space="preserve"> complete version of the Technical Paper 11: Aboriginal Cultural Heritage (</w:t>
      </w:r>
      <w:proofErr w:type="spellStart"/>
      <w:r w:rsidR="003530F0">
        <w:t>Navin</w:t>
      </w:r>
      <w:proofErr w:type="spellEnd"/>
      <w:r w:rsidR="003530F0">
        <w:t xml:space="preserve"> Officer 1997) produced for the 1997 </w:t>
      </w:r>
      <w:r w:rsidR="007471AD">
        <w:t xml:space="preserve">Draft </w:t>
      </w:r>
      <w:r w:rsidR="003530F0">
        <w:t>EIS</w:t>
      </w:r>
      <w:r w:rsidR="002F17B1">
        <w:t xml:space="preserve"> was not available for review</w:t>
      </w:r>
      <w:r>
        <w:t xml:space="preserve"> (t</w:t>
      </w:r>
      <w:r w:rsidR="003530F0">
        <w:t xml:space="preserve">he version available for the current investigation did not contain detailed descriptions of Aboriginal sites recorded </w:t>
      </w:r>
      <w:r w:rsidR="007471AD">
        <w:t>for</w:t>
      </w:r>
      <w:r w:rsidR="003530F0">
        <w:t xml:space="preserve"> that assessment</w:t>
      </w:r>
      <w:r>
        <w:t>)</w:t>
      </w:r>
      <w:r w:rsidR="003530F0">
        <w:t>.</w:t>
      </w:r>
    </w:p>
    <w:p w14:paraId="6047E259" w14:textId="606380BD" w:rsidR="003530F0" w:rsidRDefault="003530F0" w:rsidP="003530F0">
      <w:pPr>
        <w:pStyle w:val="BodyText"/>
      </w:pPr>
      <w:r>
        <w:t xml:space="preserve">In the absence of detailed site information, the current investigation has based the assessment of previous site condition on the limited information available in the </w:t>
      </w:r>
      <w:r w:rsidR="007471AD">
        <w:t>AHIMS database.</w:t>
      </w:r>
    </w:p>
    <w:p w14:paraId="20ECD58B" w14:textId="6FED7F90" w:rsidR="003530F0" w:rsidRDefault="003530F0" w:rsidP="003530F0">
      <w:pPr>
        <w:pStyle w:val="BodyText"/>
      </w:pPr>
      <w:r>
        <w:t>In order to accommodate the constrained timeframe, survey undertaken for th</w:t>
      </w:r>
      <w:r w:rsidR="007471AD">
        <w:t>e</w:t>
      </w:r>
      <w:r>
        <w:t xml:space="preserve"> </w:t>
      </w:r>
      <w:r w:rsidR="007471AD">
        <w:t xml:space="preserve">current </w:t>
      </w:r>
      <w:r>
        <w:t xml:space="preserve">investigation targeted high priority Aboriginal heritage sites within areas of high and moderate archaeological potential. This allowed for development of interim management recommendations for each specific site investigated, and assisted in the development of overall management recommendations for the entirety of the Commonwealth Lands at Badgerys Creek. An Aboriginal heritage survey to identify and record a representative sample of material traces and evidence of Aboriginal occupation across the whole of the Commonwealth lands at Badgerys Creek is included as a recommendation of this report. </w:t>
      </w:r>
    </w:p>
    <w:p w14:paraId="6DB31049" w14:textId="122DA123" w:rsidR="00641C57" w:rsidRDefault="003530F0" w:rsidP="003530F0">
      <w:pPr>
        <w:pStyle w:val="BodyText"/>
      </w:pPr>
      <w:r>
        <w:t>Assessments of cultural significance, the values of a site to the Aboriginal community itself, can only be carried out by the relevant Aboriginal communities. Archaeological and heritage management best practice requires that representatives of the local Aboriginal community are included as stakeholders in decisions concerning any heritage objects, archaeological places or Sacred Sites. Consultation with Aboriginal community stakeholders is included as a recommendation of this report for any subsequent heritage investigations.</w:t>
      </w:r>
    </w:p>
    <w:p w14:paraId="6FEF60F5" w14:textId="77777777" w:rsidR="00350B55" w:rsidRDefault="00350B55" w:rsidP="00350B55">
      <w:pPr>
        <w:pStyle w:val="Heading2"/>
      </w:pPr>
      <w:bookmarkStart w:id="63" w:name="_Toc400720087"/>
      <w:r>
        <w:t>Key findings and information gaps</w:t>
      </w:r>
      <w:bookmarkEnd w:id="63"/>
    </w:p>
    <w:p w14:paraId="476DD0CD" w14:textId="014B2665" w:rsidR="00C949A2" w:rsidRDefault="00C949A2" w:rsidP="00C949A2">
      <w:pPr>
        <w:pStyle w:val="BodyText"/>
      </w:pPr>
      <w:r>
        <w:t xml:space="preserve">Of the 21 </w:t>
      </w:r>
      <w:r w:rsidR="001C1E01">
        <w:t>Aboriginal</w:t>
      </w:r>
      <w:r>
        <w:t xml:space="preserve"> heritage sites</w:t>
      </w:r>
      <w:r w:rsidR="007A5CCF">
        <w:rPr>
          <w:rStyle w:val="FootnoteReference"/>
        </w:rPr>
        <w:footnoteReference w:id="3"/>
      </w:r>
      <w:r>
        <w:t xml:space="preserve"> within areas of areas of moderate and high archaeological potential, only </w:t>
      </w:r>
      <w:r w:rsidR="001C1E01">
        <w:t>seven</w:t>
      </w:r>
      <w:r>
        <w:t xml:space="preserve"> sites could be located and verified during the current survey. These were the two possible scarred tree sites and five stone artefact sites. Impacts recorded during the 1996 survey of the area have continued to affect the condition and visibility of the sites, and the majority of sites are now either being actively impacted by water or stock movements, or </w:t>
      </w:r>
      <w:r w:rsidR="00D40517">
        <w:t>a</w:t>
      </w:r>
      <w:r>
        <w:t xml:space="preserve">re overgrown and obscured by vegetation. These impacts appear to have either obscured the previously recorded artefacts, or to have removed them from the immediate location </w:t>
      </w:r>
      <w:r w:rsidR="00D40517">
        <w:t>of the original site recording.</w:t>
      </w:r>
    </w:p>
    <w:p w14:paraId="5AF02BFA" w14:textId="021657DC" w:rsidR="00C949A2" w:rsidRDefault="00C949A2" w:rsidP="00C949A2">
      <w:pPr>
        <w:pStyle w:val="BodyText"/>
      </w:pPr>
      <w:r>
        <w:t xml:space="preserve">Of the previously recorded </w:t>
      </w:r>
      <w:r w:rsidR="001C1E01">
        <w:t>Aboriginal</w:t>
      </w:r>
      <w:r>
        <w:t xml:space="preserve"> heritage sites within areas of areas of moderate and high archaeological potential, the following observations were made during the current survey:</w:t>
      </w:r>
    </w:p>
    <w:p w14:paraId="4AD3F80D" w14:textId="2C13748F" w:rsidR="00C949A2" w:rsidRDefault="00C949A2" w:rsidP="00C949A2">
      <w:pPr>
        <w:pStyle w:val="ListBullet"/>
      </w:pPr>
      <w:r>
        <w:t>AHIMS sites 45-5-2630 and 45-5-2634, comprising two possible scarred trees were found to be heavily impacted by ongoing rotting of the heartwood caused by previous damage and stock impacts respectively.</w:t>
      </w:r>
    </w:p>
    <w:p w14:paraId="176E4A3A" w14:textId="1C766B7B" w:rsidR="001C1E01" w:rsidRPr="00D40517" w:rsidRDefault="00C949A2" w:rsidP="00D40517">
      <w:pPr>
        <w:pStyle w:val="ListBullet"/>
      </w:pPr>
      <w:r>
        <w:t>No artefacts were visible at AHIMS sites 45-5-2685, 45-5-2683, 45-5-2764, 45-5-2768, 45-5-2789, 45-5-2679 and 45-5-2635 due to extensive vegetation, primarily pasture. As these sites were originally recorded as isolated artefacts, difficulty in relocating the artefact</w:t>
      </w:r>
      <w:r w:rsidR="00437B9B">
        <w:t>s</w:t>
      </w:r>
      <w:r>
        <w:t xml:space="preserve"> is not unexpected.</w:t>
      </w:r>
    </w:p>
    <w:p w14:paraId="5A950B82" w14:textId="2A93C076" w:rsidR="007E62F8" w:rsidRDefault="00C949A2" w:rsidP="007E62F8">
      <w:pPr>
        <w:pStyle w:val="ListBullet"/>
      </w:pPr>
      <w:r>
        <w:t>No artefacts were visible at AHIMS sites 45-5-2665, 45-5-2693 and 45-5-2632, which were originally recorded as small artefact scatters, now obscured by extensive vegetation, primarily pasture.</w:t>
      </w:r>
    </w:p>
    <w:p w14:paraId="4A0E6F1D" w14:textId="77777777" w:rsidR="009B4E05" w:rsidRDefault="009B4E05" w:rsidP="009B4E05">
      <w:pPr>
        <w:pStyle w:val="ListBullet"/>
      </w:pPr>
      <w:r>
        <w:t>No artefacts were visible at AHIMS sites 45-5-2638 and 45-5-2690 which were being actively impacted by stock movement and water erosion likely to have removed surface artefacts from the immediate vicinity. As these sites were originally recorded as isolated artefacts, difficulty in relocating artefacts is not unexpected.</w:t>
      </w:r>
    </w:p>
    <w:p w14:paraId="04C63000" w14:textId="23FD6EE5" w:rsidR="00C949A2" w:rsidRDefault="00C949A2" w:rsidP="00C949A2">
      <w:pPr>
        <w:pStyle w:val="ListBullet"/>
      </w:pPr>
      <w:r>
        <w:t>No artefacts were visible at AHIMS sites 45-5-2699 and 45-5-2790, originally recorded as small artefact scatters. These sites were being actively impacted by stock movement and water erosion likely to have removed surface artefacts from the immediate vicinity.</w:t>
      </w:r>
    </w:p>
    <w:p w14:paraId="422C35FC" w14:textId="5F9CF482" w:rsidR="00C949A2" w:rsidRDefault="00C949A2" w:rsidP="00C949A2">
      <w:pPr>
        <w:pStyle w:val="ListBullet"/>
      </w:pPr>
      <w:r>
        <w:t xml:space="preserve">No artefacts were visible at AHIMS site 45-5-2781, originally recorded as a small artefact scatter. Portions of the site’s location are partially overgrown by riparian vegetation and pasture, and portions are being heavily impacted by stock activity within a small enclosure. </w:t>
      </w:r>
    </w:p>
    <w:p w14:paraId="351FD10D" w14:textId="422A8312" w:rsidR="00C949A2" w:rsidRDefault="00C949A2" w:rsidP="00C949A2">
      <w:pPr>
        <w:pStyle w:val="ListBullet"/>
      </w:pPr>
      <w:r>
        <w:t>Three artefacts were recorded at AHIMS site 45-5-2633, a site associated with a dam originally recorded as comprising 12 artefacts. Impacts from water erosion recorded during the current survey are likely to have removed surface artefacts from the immediate vicinity of the site.</w:t>
      </w:r>
    </w:p>
    <w:p w14:paraId="20A3A4A9" w14:textId="50F499AB" w:rsidR="00C949A2" w:rsidRDefault="00C949A2" w:rsidP="00C949A2">
      <w:pPr>
        <w:pStyle w:val="ListBullet"/>
      </w:pPr>
      <w:r>
        <w:t>One artefact was recorded at AHIMS site 45-5-2637, originally recorded as an isolated artefact, now being heavily impacted by ploughing and erosion.</w:t>
      </w:r>
    </w:p>
    <w:p w14:paraId="40F09F11" w14:textId="7CA0E853" w:rsidR="00C949A2" w:rsidRDefault="00C949A2" w:rsidP="00C949A2">
      <w:pPr>
        <w:pStyle w:val="ListBullet"/>
      </w:pPr>
      <w:r>
        <w:t>One artefact was recorded at AHIMS site 45-5-2672, a site associated with a dam that was originally recorded as comprising six artefacts. The site is now predominantly covered by pasture, obscuring vegetation almost completely.</w:t>
      </w:r>
    </w:p>
    <w:p w14:paraId="4D678F43" w14:textId="7865437E" w:rsidR="00350B55" w:rsidRDefault="00C949A2" w:rsidP="00C949A2">
      <w:pPr>
        <w:pStyle w:val="ListBullet"/>
      </w:pPr>
      <w:r>
        <w:t>Only one site contained more visible artefacts than originally recorded. AHIMS site 45-5-2678 was recorded in 1996 as a scatter of 11 artefacts exposed within two small salt pan erosion areas, and during the current survey a total of 64 artefacts were recorded at the site, within extensive exposures caused by ongoing stock impacts and water erosion.</w:t>
      </w:r>
    </w:p>
    <w:p w14:paraId="4E84C9BD" w14:textId="77777777" w:rsidR="004354A6" w:rsidRDefault="004354A6" w:rsidP="005613AC">
      <w:pPr>
        <w:pStyle w:val="Subheading"/>
      </w:pPr>
      <w:r>
        <w:t>Information gaps</w:t>
      </w:r>
    </w:p>
    <w:p w14:paraId="29BEB916" w14:textId="3F6A97A5" w:rsidR="00C949A2" w:rsidRDefault="001C1E01" w:rsidP="00C949A2">
      <w:pPr>
        <w:pStyle w:val="BodyText"/>
      </w:pPr>
      <w:r>
        <w:t>Aboriginal</w:t>
      </w:r>
      <w:r w:rsidR="00C949A2">
        <w:t xml:space="preserve"> cultural heritage assessments of the study area previously undertaken for the Second Sydney Airport Site Selection Programme and the 1997 Draft </w:t>
      </w:r>
      <w:r w:rsidR="00BC5DFA">
        <w:t>EIS</w:t>
      </w:r>
      <w:r w:rsidR="00C949A2">
        <w:t xml:space="preserve"> predate the introduction of, and do not comply with, the OEH Code of Practice for Archaeological Investigation of Aboriginal Objects in New South Wales (DECCW 2010c), and current Commonwealth and State guidelines for Aboriginal community consultation, including </w:t>
      </w:r>
      <w:r w:rsidR="00C949A2" w:rsidRPr="00C949A2">
        <w:rPr>
          <w:i/>
        </w:rPr>
        <w:t xml:space="preserve">Ask First: A guide to respecting </w:t>
      </w:r>
      <w:r>
        <w:rPr>
          <w:i/>
        </w:rPr>
        <w:t>Aboriginal</w:t>
      </w:r>
      <w:r w:rsidR="00C949A2" w:rsidRPr="00C949A2">
        <w:rPr>
          <w:i/>
        </w:rPr>
        <w:t xml:space="preserve"> heritage places and values</w:t>
      </w:r>
      <w:r w:rsidR="00C949A2">
        <w:t xml:space="preserve"> (Australian Heritage Commission 2002), and the Aboriginal cultural heritage consultation requirements for proponents (DECCW 2010</w:t>
      </w:r>
      <w:r w:rsidR="00BC5DFA">
        <w:t>e</w:t>
      </w:r>
      <w:r w:rsidR="00C949A2">
        <w:t>).</w:t>
      </w:r>
    </w:p>
    <w:p w14:paraId="14CF5271" w14:textId="77487658" w:rsidR="00C949A2" w:rsidRDefault="00C949A2" w:rsidP="00C949A2">
      <w:pPr>
        <w:pStyle w:val="BodyText"/>
      </w:pPr>
      <w:r>
        <w:t xml:space="preserve">The descriptions and locations of all </w:t>
      </w:r>
      <w:r w:rsidR="001C1E01">
        <w:t>Aboriginal</w:t>
      </w:r>
      <w:r>
        <w:t xml:space="preserve"> sites identified within the current study area were omitted from Technical Paper 11, Aboriginal Cultural Heritage Proposal for a Second Sydney Airport at Badgerys Creek or Holsworthy Military Area (</w:t>
      </w:r>
      <w:proofErr w:type="spellStart"/>
      <w:r>
        <w:t>Navin</w:t>
      </w:r>
      <w:proofErr w:type="spellEnd"/>
      <w:r>
        <w:t xml:space="preserve"> Officer 1997), as it was being placed on public exhibition. As such, all </w:t>
      </w:r>
      <w:r w:rsidR="001C1E01">
        <w:t>Aboriginal</w:t>
      </w:r>
      <w:r>
        <w:t xml:space="preserve"> site information recorded during the field investigations for the Draft EIS was obtained from AHIMS site cards held by OEH. However, this information is in many cases limited: the recording forms used on the field survey were non-standard, and a number of them do not include any pertinent details or site descriptions.</w:t>
      </w:r>
    </w:p>
    <w:p w14:paraId="709A7D88" w14:textId="087CF6F1" w:rsidR="00C949A2" w:rsidRDefault="00C949A2" w:rsidP="00C949A2">
      <w:pPr>
        <w:pStyle w:val="BodyText"/>
      </w:pPr>
      <w:r>
        <w:t xml:space="preserve">The archaeological survey undertaken for the current study targeted 21 </w:t>
      </w:r>
      <w:r w:rsidR="001C1E01">
        <w:t>Aboriginal</w:t>
      </w:r>
      <w:r>
        <w:t xml:space="preserve"> sites within zones assessed in the 1997 Draft EIS as having moderate and high archaeological potential. Two properties could not be accessed during the survey, and the condition of the </w:t>
      </w:r>
      <w:r w:rsidR="001C1E01">
        <w:t>Aboriginal</w:t>
      </w:r>
      <w:r>
        <w:t xml:space="preserve"> sites registered on these properties, AHIMS Site 45-5-2783 (B43) and AHIMS Site 45-5-2682 (B75), could not be verified.</w:t>
      </w:r>
    </w:p>
    <w:p w14:paraId="573C43EE" w14:textId="0FD309F6" w:rsidR="004354A6" w:rsidRDefault="00C949A2" w:rsidP="00C949A2">
      <w:pPr>
        <w:pStyle w:val="BodyText"/>
      </w:pPr>
      <w:r>
        <w:t xml:space="preserve">Archaeological investigation of the </w:t>
      </w:r>
      <w:r w:rsidR="001C1E01">
        <w:t>Aboriginal</w:t>
      </w:r>
      <w:r>
        <w:t xml:space="preserve"> cultural heritage of the </w:t>
      </w:r>
      <w:r w:rsidR="004F79B1">
        <w:t>Commonwealth land</w:t>
      </w:r>
      <w:r>
        <w:t xml:space="preserve"> at Badgerys Creek has not, to date</w:t>
      </w:r>
      <w:r w:rsidR="00D40517">
        <w:t>,</w:t>
      </w:r>
      <w:r>
        <w:t xml:space="preserve"> included archaeological excavations. Archaeological studies within the Cumberland Plain have shown that the presence or absence of surface archaeological materials, while a potentially significant source of archaeological information regarding past </w:t>
      </w:r>
      <w:r w:rsidR="001C1E01">
        <w:t>Aboriginal</w:t>
      </w:r>
      <w:r>
        <w:t xml:space="preserve"> land use and activities, are not a wholly reliable indicator of the distribution of in situ archaeological deposits. Surface expressions of </w:t>
      </w:r>
      <w:r w:rsidR="001C1E01">
        <w:t>Aboriginal</w:t>
      </w:r>
      <w:r>
        <w:t xml:space="preserve"> heritage sites reviewed during this </w:t>
      </w:r>
      <w:r w:rsidR="00D40517">
        <w:t>investigation</w:t>
      </w:r>
      <w:r>
        <w:t xml:space="preserve"> were entirely exposed through disturbance, and it is likely that substantial archaeological deposits may remain present within the study area within landforms that have not experienced significant disturbance.</w:t>
      </w:r>
    </w:p>
    <w:p w14:paraId="74B0CC08" w14:textId="77777777" w:rsidR="00350B55" w:rsidRDefault="00350B55" w:rsidP="00350B55">
      <w:pPr>
        <w:pStyle w:val="Heading2"/>
      </w:pPr>
      <w:bookmarkStart w:id="64" w:name="_Toc400720088"/>
      <w:r>
        <w:t>Recommendations</w:t>
      </w:r>
      <w:bookmarkEnd w:id="64"/>
    </w:p>
    <w:p w14:paraId="3BEC0425" w14:textId="4C1B5309" w:rsidR="007E62F8" w:rsidRDefault="007E62F8" w:rsidP="007E62F8">
      <w:pPr>
        <w:pStyle w:val="BodyText"/>
      </w:pPr>
      <w:r w:rsidRPr="000C543E">
        <w:t xml:space="preserve">The </w:t>
      </w:r>
      <w:r>
        <w:t>following recommendations</w:t>
      </w:r>
      <w:r w:rsidRPr="000C543E">
        <w:t xml:space="preserve"> </w:t>
      </w:r>
      <w:r>
        <w:t xml:space="preserve">are provided in the context of the preceding discussion and </w:t>
      </w:r>
      <w:r w:rsidRPr="000C543E">
        <w:t xml:space="preserve">should </w:t>
      </w:r>
      <w:r>
        <w:t xml:space="preserve">also </w:t>
      </w:r>
      <w:r w:rsidRPr="000C543E">
        <w:t>be considered in the context of ‘reasonable and feasible’ to the extent that land use permits.</w:t>
      </w:r>
    </w:p>
    <w:p w14:paraId="575B6C3B" w14:textId="3D1A29DB" w:rsidR="008E395B" w:rsidRDefault="008E395B" w:rsidP="00AF0095">
      <w:pPr>
        <w:pStyle w:val="ListBullet"/>
      </w:pPr>
      <w:r>
        <w:t xml:space="preserve">Aboriginal community consultation should be carried out to ensure the appropriate involvement of Aboriginal stakeholders in the assessment and decision making regarding their heritage. Consultation should comply with </w:t>
      </w:r>
      <w:r w:rsidRPr="004A42B9">
        <w:rPr>
          <w:i/>
        </w:rPr>
        <w:t xml:space="preserve">Ask First: A guide to respecting </w:t>
      </w:r>
      <w:r w:rsidR="001C1E01">
        <w:rPr>
          <w:i/>
        </w:rPr>
        <w:t>Aboriginal</w:t>
      </w:r>
      <w:r w:rsidRPr="004A42B9">
        <w:rPr>
          <w:i/>
        </w:rPr>
        <w:t xml:space="preserve"> heritage places and values</w:t>
      </w:r>
      <w:r>
        <w:t xml:space="preserve"> (</w:t>
      </w:r>
      <w:r w:rsidR="004A42B9">
        <w:t xml:space="preserve">Australian Heritage Commission </w:t>
      </w:r>
      <w:r>
        <w:t xml:space="preserve">2002), and address the </w:t>
      </w:r>
      <w:r w:rsidRPr="004A42B9">
        <w:rPr>
          <w:i/>
        </w:rPr>
        <w:t>Aboriginal cultural heritage consultation requirements for proponents</w:t>
      </w:r>
      <w:r>
        <w:t xml:space="preserve"> (DECCW 2010</w:t>
      </w:r>
      <w:r w:rsidR="00BC5DFA">
        <w:t>e</w:t>
      </w:r>
      <w:r>
        <w:t>), as appropriate.</w:t>
      </w:r>
    </w:p>
    <w:p w14:paraId="6953F79C" w14:textId="534F2212" w:rsidR="008E395B" w:rsidRDefault="008E395B" w:rsidP="00AF0095">
      <w:pPr>
        <w:pStyle w:val="ListBullet"/>
      </w:pPr>
      <w:r>
        <w:t>Full archaeological survey of the</w:t>
      </w:r>
      <w:r w:rsidR="007E62F8">
        <w:t xml:space="preserve"> Commonwealth land</w:t>
      </w:r>
      <w:r>
        <w:t xml:space="preserve"> should be undertaken in consultation and engagement with Aboriginal community stakeholders. The survey and assessment should seek to assess a representative sample of all landforms within the area, and should comply with the requirements of the </w:t>
      </w:r>
      <w:r w:rsidR="004A42B9">
        <w:t>OEH</w:t>
      </w:r>
      <w:r>
        <w:t xml:space="preserve"> </w:t>
      </w:r>
      <w:r w:rsidRPr="004A42B9">
        <w:rPr>
          <w:i/>
        </w:rPr>
        <w:t>Code of Practice for Archaeological Investigation of Aboriginal Objects in New South Wales</w:t>
      </w:r>
      <w:r>
        <w:t xml:space="preserve"> (DECCW 2010</w:t>
      </w:r>
      <w:r w:rsidR="00E318F0">
        <w:t>c</w:t>
      </w:r>
      <w:r>
        <w:t>).</w:t>
      </w:r>
    </w:p>
    <w:p w14:paraId="554F1641" w14:textId="53CBDB13" w:rsidR="008E395B" w:rsidRDefault="007E62F8" w:rsidP="007E62F8">
      <w:pPr>
        <w:pStyle w:val="ListBullet"/>
      </w:pPr>
      <w:r w:rsidRPr="007E62F8">
        <w:t>A program of archaeological test and salvage excavations should be carried out throughout impact areas resulting from future development or land use activities on the Commonwealth land at Badgerys Creek, in consultation and engagement with Aboriginal community stakeholders. The scope and methodology of the excavation should respond to the results of the archaeological survey and assessment, and should seek to recover and analyse an appropriate representative sample of the Aboriginal archaeological resource of the area.</w:t>
      </w:r>
    </w:p>
    <w:p w14:paraId="6615B7B6" w14:textId="77777777" w:rsidR="003B00DE" w:rsidRDefault="003B00DE" w:rsidP="00BE3216">
      <w:pPr>
        <w:pStyle w:val="BodyText"/>
      </w:pPr>
    </w:p>
    <w:p w14:paraId="39587102" w14:textId="77777777" w:rsidR="00261470" w:rsidRDefault="00261470" w:rsidP="003B00DE">
      <w:pPr>
        <w:pStyle w:val="Heading1"/>
        <w:sectPr w:rsidR="00261470" w:rsidSect="009378DC">
          <w:type w:val="oddPage"/>
          <w:pgSz w:w="11900" w:h="16840"/>
          <w:pgMar w:top="1418" w:right="1418" w:bottom="1418" w:left="1418" w:header="709" w:footer="709" w:gutter="0"/>
          <w:cols w:space="708"/>
          <w:docGrid w:linePitch="360"/>
        </w:sectPr>
      </w:pPr>
    </w:p>
    <w:p w14:paraId="1E3E83E4" w14:textId="77777777" w:rsidR="004A07E5" w:rsidRDefault="004A07E5" w:rsidP="004A07E5">
      <w:pPr>
        <w:pStyle w:val="Heading1"/>
      </w:pPr>
      <w:bookmarkStart w:id="65" w:name="_Toc400720089"/>
      <w:r>
        <w:t>Hydrology and water quality</w:t>
      </w:r>
      <w:bookmarkEnd w:id="65"/>
    </w:p>
    <w:p w14:paraId="3CA084CC" w14:textId="22991A0B" w:rsidR="005720AC" w:rsidRDefault="005720AC" w:rsidP="005720AC">
      <w:pPr>
        <w:pStyle w:val="Heading2"/>
      </w:pPr>
      <w:bookmarkStart w:id="66" w:name="_Toc400720090"/>
      <w:r w:rsidRPr="005720AC">
        <w:t>Previous investigations</w:t>
      </w:r>
      <w:bookmarkEnd w:id="66"/>
    </w:p>
    <w:p w14:paraId="41FD7371" w14:textId="77777777" w:rsidR="00E82C51" w:rsidRDefault="00E82C51" w:rsidP="00E82C51">
      <w:pPr>
        <w:pStyle w:val="Heading3"/>
      </w:pPr>
      <w:r>
        <w:t>1997 Draft EIS</w:t>
      </w:r>
    </w:p>
    <w:p w14:paraId="005AA545" w14:textId="669CD89F" w:rsidR="00E82C51" w:rsidRDefault="00E82C51" w:rsidP="00E82C51">
      <w:pPr>
        <w:pStyle w:val="BodyText"/>
      </w:pPr>
      <w:r>
        <w:t xml:space="preserve">Chapter 16 of the </w:t>
      </w:r>
      <w:r w:rsidR="00B444F0">
        <w:t>Draft EIS</w:t>
      </w:r>
      <w:r>
        <w:t xml:space="preserve"> addressed the </w:t>
      </w:r>
      <w:r w:rsidR="003A57A1">
        <w:t xml:space="preserve">impacts of the </w:t>
      </w:r>
      <w:r w:rsidR="003678A0">
        <w:t xml:space="preserve">then </w:t>
      </w:r>
      <w:r w:rsidR="003A57A1">
        <w:t xml:space="preserve">proposed Second Sydney Airport on </w:t>
      </w:r>
      <w:r>
        <w:t xml:space="preserve">geology, soils and water </w:t>
      </w:r>
      <w:r w:rsidR="003A57A1">
        <w:t>(both surface water and groundwater)</w:t>
      </w:r>
      <w:r>
        <w:t xml:space="preserve">. Discussion was based on a separate specialist investigation documented in </w:t>
      </w:r>
      <w:r w:rsidRPr="00E82C51">
        <w:rPr>
          <w:i/>
        </w:rPr>
        <w:t>Technical Paper 7: Geology, Soils and Water</w:t>
      </w:r>
      <w:r>
        <w:t xml:space="preserve"> (Robyn Tuft and Associates 1997).</w:t>
      </w:r>
    </w:p>
    <w:p w14:paraId="1CD1389C" w14:textId="21758660" w:rsidR="00B9760A" w:rsidRDefault="00B9760A" w:rsidP="005613AC">
      <w:pPr>
        <w:pStyle w:val="Subheading"/>
      </w:pPr>
      <w:r>
        <w:t>Hydrology</w:t>
      </w:r>
    </w:p>
    <w:p w14:paraId="7E7D4A70" w14:textId="539D9BF5" w:rsidR="00B9760A" w:rsidRDefault="005430BD" w:rsidP="00E82C51">
      <w:pPr>
        <w:pStyle w:val="BodyText"/>
      </w:pPr>
      <w:r>
        <w:t>Assessment of flooding impacts was based on hydrological investigations undertaken in relation to airport planning and design. The Draft EIS noted that both Badgerys Creek and South Creek have potential to cause flooding. Areas adjacent to the airport site and downstream were noted as being within the 1 in 100 year flood zone. Temporary creek diversions were identified as being required during construction of the permanent stormwater drainage infrastructure. The Draft EIS indicated that post development runoff volumes would exceed pre-development runoff volumes due to the substantial extent of impervious areas and increased drainage efficiency. The need for flood modelling for the entire South Creek catchment was noted.</w:t>
      </w:r>
    </w:p>
    <w:p w14:paraId="279DAF50" w14:textId="675B56DE" w:rsidR="00B9760A" w:rsidRDefault="00B9760A" w:rsidP="005613AC">
      <w:pPr>
        <w:pStyle w:val="Subheading"/>
      </w:pPr>
      <w:r>
        <w:t>Surface water</w:t>
      </w:r>
    </w:p>
    <w:p w14:paraId="29B5E90B" w14:textId="74E8AC4B" w:rsidR="003A57A1" w:rsidRDefault="003A57A1" w:rsidP="00E82C51">
      <w:pPr>
        <w:pStyle w:val="BodyText"/>
      </w:pPr>
      <w:r>
        <w:t>T</w:t>
      </w:r>
      <w:r w:rsidRPr="003A57A1">
        <w:t>he Draft EIS</w:t>
      </w:r>
      <w:r>
        <w:t xml:space="preserve"> assumed </w:t>
      </w:r>
      <w:r w:rsidRPr="003A57A1">
        <w:t xml:space="preserve">a high value </w:t>
      </w:r>
      <w:r>
        <w:t>would be</w:t>
      </w:r>
      <w:r w:rsidRPr="003A57A1">
        <w:t xml:space="preserve"> attached to clean drinking water supplies, catchment areas, </w:t>
      </w:r>
      <w:proofErr w:type="gramStart"/>
      <w:r w:rsidRPr="003A57A1">
        <w:t>stream</w:t>
      </w:r>
      <w:proofErr w:type="gramEnd"/>
      <w:r w:rsidRPr="003A57A1">
        <w:t xml:space="preserve"> habitat value and water quality. The proximity of the airport </w:t>
      </w:r>
      <w:r>
        <w:t>site</w:t>
      </w:r>
      <w:r w:rsidRPr="003A57A1">
        <w:t xml:space="preserve"> to Warragamba Dam, Sydney's primary water supply, and household drinking water tank supplies were strongly associated </w:t>
      </w:r>
      <w:r>
        <w:t xml:space="preserve">with a </w:t>
      </w:r>
      <w:r w:rsidRPr="003A57A1">
        <w:t xml:space="preserve">public perception </w:t>
      </w:r>
      <w:r>
        <w:t>of</w:t>
      </w:r>
      <w:r w:rsidRPr="003A57A1">
        <w:t xml:space="preserve"> diminished water quality.</w:t>
      </w:r>
    </w:p>
    <w:p w14:paraId="3082EDE8" w14:textId="44F9736A" w:rsidR="00E82C51" w:rsidRDefault="003A57A1" w:rsidP="00E82C51">
      <w:pPr>
        <w:pStyle w:val="BodyText"/>
      </w:pPr>
      <w:r w:rsidRPr="003A57A1">
        <w:t xml:space="preserve">Surface water quality sampling and analysis was undertaken for creeks passing through the project area. Sampling was undertaken at three locations in Badgerys Creek, two locations in Cosgrove Creek and one location each in Thompsons Creek and </w:t>
      </w:r>
      <w:proofErr w:type="spellStart"/>
      <w:r w:rsidRPr="003A57A1">
        <w:t>Duncans</w:t>
      </w:r>
      <w:proofErr w:type="spellEnd"/>
      <w:r w:rsidRPr="003A57A1">
        <w:t xml:space="preserve"> Creek. Surface water samples were analysed for a range of chemical, physical and biological parameters. A summary of the chemical water quality results is provided in the water quality results summary in </w:t>
      </w:r>
      <w:r>
        <w:t>Appendix E.</w:t>
      </w:r>
    </w:p>
    <w:p w14:paraId="29EDACB5" w14:textId="04D3BA44" w:rsidR="00E82C51" w:rsidRDefault="00E82C51" w:rsidP="00E82C51">
      <w:pPr>
        <w:pStyle w:val="BodyText"/>
      </w:pPr>
      <w:r>
        <w:t xml:space="preserve">Assessment of surface water quality was based upon the </w:t>
      </w:r>
      <w:r w:rsidR="003B3976">
        <w:t xml:space="preserve">1992 </w:t>
      </w:r>
      <w:r>
        <w:t xml:space="preserve">Australia and New Zealand Environment Conservation Council (ANZECC) </w:t>
      </w:r>
      <w:r w:rsidRPr="00E82C51">
        <w:rPr>
          <w:i/>
        </w:rPr>
        <w:t>Guidelines for the Protection of Aquatic Ecosystems</w:t>
      </w:r>
      <w:r>
        <w:t xml:space="preserve">. </w:t>
      </w:r>
      <w:r w:rsidR="003A57A1" w:rsidRPr="003A57A1">
        <w:t xml:space="preserve">The results from laboratory analysis were </w:t>
      </w:r>
      <w:r w:rsidR="003A57A1">
        <w:t>assessed against</w:t>
      </w:r>
      <w:r w:rsidR="003A57A1" w:rsidRPr="003A57A1">
        <w:t xml:space="preserve"> the ‘recreational waters’ classification guideline values. Potential drinking water impacts were assessed by estimating concentrations of indicative compounds in water that would result from predicted aerial pollutant levels and comparing these concentrations with ANZECC drinking water guidelines.</w:t>
      </w:r>
    </w:p>
    <w:p w14:paraId="36207571" w14:textId="16462E05" w:rsidR="00B9760A" w:rsidRDefault="00B9760A" w:rsidP="005613AC">
      <w:pPr>
        <w:pStyle w:val="Subheading"/>
      </w:pPr>
      <w:r>
        <w:t>Groundwater</w:t>
      </w:r>
    </w:p>
    <w:p w14:paraId="225B44DA" w14:textId="2C4DD089" w:rsidR="003A57A1" w:rsidRDefault="003A57A1" w:rsidP="00E82C51">
      <w:pPr>
        <w:pStyle w:val="BodyText"/>
      </w:pPr>
      <w:r w:rsidRPr="003A57A1">
        <w:t>Licenced groundwater bore locations within three kilometres of the study area were identified. Where access was available, bores were manually dipped to determine standing water levels and sampled for a range of chemical parameters.</w:t>
      </w:r>
      <w:r w:rsidR="00682A58">
        <w:t xml:space="preserve"> </w:t>
      </w:r>
    </w:p>
    <w:p w14:paraId="1E07724C" w14:textId="35C5B5B6" w:rsidR="00E82C51" w:rsidRDefault="00E82C51" w:rsidP="00E82C51">
      <w:pPr>
        <w:pStyle w:val="BodyText"/>
      </w:pPr>
      <w:r>
        <w:t>The Draft EIS included a range of management measures to mitigate impacts during construction and operation, including regular monitoring of surface water.</w:t>
      </w:r>
    </w:p>
    <w:p w14:paraId="1D60319D" w14:textId="3000BB9C" w:rsidR="00B9760A" w:rsidRDefault="00B9760A" w:rsidP="005613AC">
      <w:pPr>
        <w:pStyle w:val="Subheading"/>
      </w:pPr>
      <w:r>
        <w:t>Auditor’s Report</w:t>
      </w:r>
    </w:p>
    <w:p w14:paraId="12E4C58B" w14:textId="5EE6CA6D" w:rsidR="0029772E" w:rsidRDefault="00E82C51" w:rsidP="00682A58">
      <w:pPr>
        <w:pStyle w:val="BodyText"/>
        <w:keepNext/>
      </w:pPr>
      <w:r>
        <w:t xml:space="preserve">The Auditor’s Report on the Draft EIS (SMEC 1998) </w:t>
      </w:r>
      <w:r w:rsidR="0029772E">
        <w:t>provided separate comment on hydrology, surface water quality, and groundwater.</w:t>
      </w:r>
      <w:r w:rsidR="00682A58">
        <w:t xml:space="preserve"> </w:t>
      </w:r>
      <w:r w:rsidR="0029772E">
        <w:t>The following was noted with regard to hydrology:</w:t>
      </w:r>
    </w:p>
    <w:p w14:paraId="4E5D2FDC" w14:textId="28E3373E" w:rsidR="006F1658" w:rsidRDefault="006F1658" w:rsidP="00AF0095">
      <w:pPr>
        <w:pStyle w:val="ListBullet"/>
      </w:pPr>
      <w:r>
        <w:t>Overall, consideration of the hydrological impacts of construction and operation were addressed in a superficial manner.</w:t>
      </w:r>
    </w:p>
    <w:p w14:paraId="691826F0" w14:textId="1730E465" w:rsidR="006F1658" w:rsidRDefault="006F1658" w:rsidP="00AF0095">
      <w:pPr>
        <w:pStyle w:val="ListBullet"/>
      </w:pPr>
      <w:r>
        <w:t xml:space="preserve">No discussion </w:t>
      </w:r>
      <w:r w:rsidR="00641C57">
        <w:t>w</w:t>
      </w:r>
      <w:r>
        <w:t>as provided of flooding information in relation to planning considerations.</w:t>
      </w:r>
    </w:p>
    <w:p w14:paraId="75136A83" w14:textId="1E64AA6E" w:rsidR="005720AC" w:rsidRDefault="006F1658" w:rsidP="00AF0095">
      <w:pPr>
        <w:pStyle w:val="ListBullet"/>
      </w:pPr>
      <w:r>
        <w:t xml:space="preserve">While the Draft EIS acknowledged the likelihood of increased runoff due to large areas of impervious surfaces, no quantitative information was provided on the increase of runoff </w:t>
      </w:r>
      <w:proofErr w:type="gramStart"/>
      <w:r>
        <w:t>nor</w:t>
      </w:r>
      <w:proofErr w:type="gramEnd"/>
      <w:r>
        <w:t xml:space="preserve"> on potential increased downstream flooding.</w:t>
      </w:r>
    </w:p>
    <w:p w14:paraId="2F568F8A" w14:textId="6E6B5B80" w:rsidR="006F1658" w:rsidRDefault="0033359E" w:rsidP="00AF0095">
      <w:pPr>
        <w:pStyle w:val="ListBullet"/>
      </w:pPr>
      <w:r>
        <w:t>No discussion was provided on the potential for upstream flooding.</w:t>
      </w:r>
    </w:p>
    <w:p w14:paraId="1E318FEE" w14:textId="3B9E4DDA" w:rsidR="0033359E" w:rsidRDefault="0033359E" w:rsidP="00AF0095">
      <w:pPr>
        <w:pStyle w:val="ListBullet"/>
      </w:pPr>
      <w:r>
        <w:t xml:space="preserve">No discussion as provided on the </w:t>
      </w:r>
      <w:proofErr w:type="gramStart"/>
      <w:r>
        <w:t>potential  for</w:t>
      </w:r>
      <w:proofErr w:type="gramEnd"/>
      <w:r>
        <w:t xml:space="preserve"> permanent changes to natural drainage patterns, including channel stability related to changes in flow volumes or in-stream flow velocities.</w:t>
      </w:r>
    </w:p>
    <w:p w14:paraId="1AA749A9" w14:textId="7923744B" w:rsidR="0033359E" w:rsidRDefault="0033359E" w:rsidP="00AF0095">
      <w:pPr>
        <w:pStyle w:val="ListBullet"/>
      </w:pPr>
      <w:r>
        <w:t>While measures were identified to mitigate flood peaks immediately downstream of the airport site, no discussion was provided of the potential effects of this further downstream.</w:t>
      </w:r>
    </w:p>
    <w:p w14:paraId="5FB74D5B" w14:textId="18506EFE" w:rsidR="00776624" w:rsidRDefault="00776624" w:rsidP="009C3452">
      <w:pPr>
        <w:pStyle w:val="BodyText"/>
      </w:pPr>
      <w:r>
        <w:t>The Auditor’s Report noted that the Draft EIS generally addressed the areas nominated in the EIS Guidelines, but also noted the following shortfalls in the analysis:</w:t>
      </w:r>
    </w:p>
    <w:p w14:paraId="161F7BE5" w14:textId="360B4272" w:rsidR="00776624" w:rsidRDefault="00FE415D" w:rsidP="00AF0095">
      <w:pPr>
        <w:pStyle w:val="ListBullet"/>
      </w:pPr>
      <w:r>
        <w:t>F</w:t>
      </w:r>
      <w:r w:rsidR="00776624">
        <w:t xml:space="preserve">urther investigation </w:t>
      </w:r>
      <w:r>
        <w:t xml:space="preserve">was needed </w:t>
      </w:r>
      <w:r w:rsidR="00776624">
        <w:t xml:space="preserve">of opportunities to reduce the discharge of nutrient loads to minimise </w:t>
      </w:r>
      <w:r>
        <w:t>impacts on downstream waterways.</w:t>
      </w:r>
    </w:p>
    <w:p w14:paraId="60BED087" w14:textId="2E38E20F" w:rsidR="00776624" w:rsidRDefault="00776624" w:rsidP="00AF0095">
      <w:pPr>
        <w:pStyle w:val="ListBullet"/>
      </w:pPr>
      <w:r>
        <w:t xml:space="preserve">Further investigation should be undertaken </w:t>
      </w:r>
      <w:r w:rsidR="0029772E">
        <w:t>to quantify operational impacts on domestic rainwater tanks.</w:t>
      </w:r>
    </w:p>
    <w:p w14:paraId="07E44D4A" w14:textId="2503A37B" w:rsidR="0029772E" w:rsidRDefault="0029772E" w:rsidP="00AF0095">
      <w:pPr>
        <w:pStyle w:val="ListBullet"/>
      </w:pPr>
      <w:r>
        <w:t>Th</w:t>
      </w:r>
      <w:r w:rsidR="00FE415D">
        <w:t xml:space="preserve">ere would be </w:t>
      </w:r>
      <w:r>
        <w:t>potential for bird strike associated with the use of reed beds to filter stormwater runoff.</w:t>
      </w:r>
    </w:p>
    <w:p w14:paraId="3689EB93" w14:textId="2A7666FE" w:rsidR="00776624" w:rsidRDefault="00776624" w:rsidP="009C3452">
      <w:pPr>
        <w:pStyle w:val="BodyText"/>
      </w:pPr>
      <w:r>
        <w:t>Comments on groundwater noted:</w:t>
      </w:r>
    </w:p>
    <w:p w14:paraId="641F2424" w14:textId="76154CB6" w:rsidR="00776624" w:rsidRDefault="00776624" w:rsidP="00AF0095">
      <w:pPr>
        <w:pStyle w:val="ListBullet"/>
      </w:pPr>
      <w:r>
        <w:t>The</w:t>
      </w:r>
      <w:r w:rsidR="00FE415D">
        <w:t xml:space="preserve">re was </w:t>
      </w:r>
      <w:r>
        <w:t>very limited consideration of groundwater issues in the assessment.</w:t>
      </w:r>
    </w:p>
    <w:p w14:paraId="67C93F58" w14:textId="4C8B555F" w:rsidR="00776624" w:rsidRDefault="00FE415D" w:rsidP="00AF0095">
      <w:pPr>
        <w:pStyle w:val="ListBullet"/>
      </w:pPr>
      <w:r>
        <w:t>A</w:t>
      </w:r>
      <w:r w:rsidR="00776624">
        <w:t xml:space="preserve"> more detailed study of the groundwater system</w:t>
      </w:r>
      <w:r>
        <w:t xml:space="preserve"> was needed</w:t>
      </w:r>
      <w:r w:rsidR="00776624">
        <w:t>.</w:t>
      </w:r>
    </w:p>
    <w:p w14:paraId="34175038" w14:textId="5E362884" w:rsidR="00776624" w:rsidRDefault="00FE415D" w:rsidP="00AF0095">
      <w:pPr>
        <w:pStyle w:val="ListBullet"/>
      </w:pPr>
      <w:r>
        <w:t>There was a</w:t>
      </w:r>
      <w:r w:rsidR="00776624">
        <w:t xml:space="preserve"> discrepancy between the Draft EIS and Technical </w:t>
      </w:r>
      <w:r w:rsidR="00710172">
        <w:t>P</w:t>
      </w:r>
      <w:r w:rsidR="00776624">
        <w:t>aper 7 with regard to changes in groundwater levels.</w:t>
      </w:r>
    </w:p>
    <w:p w14:paraId="6654679F" w14:textId="427F39AC" w:rsidR="00776624" w:rsidRDefault="00776624" w:rsidP="00AF0095">
      <w:pPr>
        <w:pStyle w:val="ListBullet"/>
      </w:pPr>
      <w:r>
        <w:t>No consideration was given to disposal or treatment of saline groundwater during construction.</w:t>
      </w:r>
    </w:p>
    <w:p w14:paraId="30D94F78" w14:textId="7E419571" w:rsidR="00E82C51" w:rsidRDefault="00E82C51" w:rsidP="00E82C51">
      <w:pPr>
        <w:pStyle w:val="Heading3"/>
      </w:pPr>
      <w:r>
        <w:t>1999 Supplement to the Draft EIS</w:t>
      </w:r>
    </w:p>
    <w:p w14:paraId="1BCA7FBE" w14:textId="71574D5C" w:rsidR="00E82C51" w:rsidRDefault="00E82C51" w:rsidP="00E82C51">
      <w:pPr>
        <w:pStyle w:val="BodyText"/>
      </w:pPr>
      <w:r>
        <w:t xml:space="preserve">Chapter 13 of the Supplement to the Draft EIS summarised the findings of the </w:t>
      </w:r>
      <w:r w:rsidR="00B444F0">
        <w:t>Draft EIS</w:t>
      </w:r>
      <w:r>
        <w:t xml:space="preserve"> and issues raised in submissions.</w:t>
      </w:r>
      <w:r w:rsidR="00C46959">
        <w:t xml:space="preserve"> </w:t>
      </w:r>
      <w:r w:rsidR="00A11B6B">
        <w:t>In addition to providing further information on</w:t>
      </w:r>
      <w:r w:rsidR="00C46959">
        <w:t xml:space="preserve"> hydrology, surface water quality and groundwater</w:t>
      </w:r>
      <w:r w:rsidR="00A11B6B">
        <w:t xml:space="preserve"> issues, discussion was provided on the potential impacts of aircraft emissions on water supply at the regional scale and in relation to domestic rainwater tanks.</w:t>
      </w:r>
    </w:p>
    <w:p w14:paraId="0E72D21D" w14:textId="44C430EA" w:rsidR="00B9760A" w:rsidRDefault="00B9760A" w:rsidP="005613AC">
      <w:pPr>
        <w:pStyle w:val="Subheading"/>
      </w:pPr>
      <w:r>
        <w:t>Hydrology</w:t>
      </w:r>
    </w:p>
    <w:p w14:paraId="65F36059" w14:textId="5741A6BD" w:rsidR="00B9760A" w:rsidRDefault="00A11B6B" w:rsidP="00E82C51">
      <w:pPr>
        <w:pStyle w:val="BodyText"/>
      </w:pPr>
      <w:r>
        <w:t>Hydrological modelling of stormwater runoff was undertaken to investigate the nature of flood flows both immediately downstream of the airport site. This also examined the attenuation of flood flows through the provision of detention basins within the airport site. The analysis was limited</w:t>
      </w:r>
      <w:r w:rsidR="00741675">
        <w:t xml:space="preserve"> to examination of behaviour of flood peaks and no hydraulic modelling was undertaken to assess two-dimensional flooding behaviour downstream.</w:t>
      </w:r>
    </w:p>
    <w:p w14:paraId="4B4005F6" w14:textId="72319252" w:rsidR="00741675" w:rsidRDefault="00741675" w:rsidP="00E82C51">
      <w:pPr>
        <w:pStyle w:val="BodyText"/>
      </w:pPr>
      <w:r>
        <w:t>A qualitative discussion was provided on potential changes to downstream channel morphology associated with the changed hydrological regime.</w:t>
      </w:r>
    </w:p>
    <w:p w14:paraId="35956124" w14:textId="4E3A8904" w:rsidR="00B9760A" w:rsidRDefault="00B9760A" w:rsidP="005613AC">
      <w:pPr>
        <w:pStyle w:val="Subheading"/>
      </w:pPr>
      <w:r>
        <w:t>Surface water</w:t>
      </w:r>
      <w:r w:rsidR="00776624">
        <w:t xml:space="preserve"> quality</w:t>
      </w:r>
    </w:p>
    <w:p w14:paraId="272A173B" w14:textId="5067855B" w:rsidR="00B9760A" w:rsidRDefault="00741675" w:rsidP="00E82C51">
      <w:pPr>
        <w:pStyle w:val="BodyText"/>
      </w:pPr>
      <w:r>
        <w:t>A</w:t>
      </w:r>
      <w:r w:rsidR="00C46959">
        <w:t xml:space="preserve">dditional water quality sampling </w:t>
      </w:r>
      <w:r>
        <w:t xml:space="preserve">was </w:t>
      </w:r>
      <w:r w:rsidR="00C46959">
        <w:t xml:space="preserve">undertaken at three new locations in South Creek as well as one location in each of Badgerys Creek, Cosgrove Creek, Thompson Creek and </w:t>
      </w:r>
      <w:proofErr w:type="spellStart"/>
      <w:r w:rsidR="00C46959">
        <w:t>Duncans</w:t>
      </w:r>
      <w:proofErr w:type="spellEnd"/>
      <w:r w:rsidR="00C46959">
        <w:t xml:space="preserve"> Creeks.</w:t>
      </w:r>
      <w:r>
        <w:t xml:space="preserve"> </w:t>
      </w:r>
      <w:r w:rsidR="0038749E">
        <w:t>Q</w:t>
      </w:r>
      <w:r>
        <w:t xml:space="preserve">uantitative modelling of water quality </w:t>
      </w:r>
      <w:r w:rsidR="0038749E">
        <w:t>was undertaken to</w:t>
      </w:r>
      <w:r>
        <w:t xml:space="preserve"> examine nutrients (nitrogen and phosphorus), suspended solids, chlorophyll and coliforms</w:t>
      </w:r>
      <w:r w:rsidR="0038749E">
        <w:t>, and the impacts of these on downstream receiving waterways</w:t>
      </w:r>
      <w:r>
        <w:t xml:space="preserve">. Assessment of surface water quality was based upon the 1992 ANZECC </w:t>
      </w:r>
      <w:r w:rsidRPr="003B3976">
        <w:rPr>
          <w:i/>
        </w:rPr>
        <w:t>Guidelines for Fresh and Marine Waters</w:t>
      </w:r>
      <w:r>
        <w:t>.</w:t>
      </w:r>
    </w:p>
    <w:p w14:paraId="388EB33D" w14:textId="6267B037" w:rsidR="00741675" w:rsidRDefault="00741675" w:rsidP="00E82C51">
      <w:pPr>
        <w:pStyle w:val="BodyText"/>
      </w:pPr>
      <w:r>
        <w:t>The Supplement to the Draft EIS included discussion on operational sewage flows and opportunities to use treated effluent for non-potable water supply demands.</w:t>
      </w:r>
    </w:p>
    <w:p w14:paraId="602CD511" w14:textId="433773DB" w:rsidR="00B9760A" w:rsidRDefault="00B9760A" w:rsidP="005613AC">
      <w:pPr>
        <w:pStyle w:val="Subheading"/>
      </w:pPr>
      <w:r>
        <w:t>Groundwater</w:t>
      </w:r>
    </w:p>
    <w:p w14:paraId="32F6DADF" w14:textId="67C8A53B" w:rsidR="00B9760A" w:rsidRDefault="00A11CB9" w:rsidP="00E82C51">
      <w:pPr>
        <w:pStyle w:val="BodyText"/>
      </w:pPr>
      <w:r>
        <w:t>The earlier investigation identified two aquifers within the airport options sites, a shallow aquifer in Quaternary alluvium and a deeper regional aquifer within the Bringelly Shale formation. Groundwater flow is in a northeast direction and water quality within both aquifers is saline. Further field investigations were undertaken to improve understanding of hydrogeological characteristics and to inform subsequent development of a groundwater model.</w:t>
      </w:r>
    </w:p>
    <w:p w14:paraId="7906A19C" w14:textId="77777777" w:rsidR="00B9760A" w:rsidRDefault="00B9760A" w:rsidP="005613AC">
      <w:pPr>
        <w:pStyle w:val="Subheading"/>
      </w:pPr>
      <w:r>
        <w:t>Auditor’s Report</w:t>
      </w:r>
    </w:p>
    <w:p w14:paraId="2C7CA3B6" w14:textId="3ED5A6A6" w:rsidR="00E82C51" w:rsidRDefault="00E82C51" w:rsidP="00E82C51">
      <w:pPr>
        <w:pStyle w:val="BodyText"/>
      </w:pPr>
      <w:r>
        <w:t>The Auditor’s Report on the Supplement to the Draft EIS (SMEC 1999) noted that deficiencies existed in the hydrological and water quality analyses. The Auditor found that the Supplement to the Draft EIS did not adequate</w:t>
      </w:r>
      <w:r w:rsidR="003B3976">
        <w:t>ly</w:t>
      </w:r>
      <w:r>
        <w:t xml:space="preserve"> present clear reasoning behind the adopted water quality criteria. The Auditor</w:t>
      </w:r>
      <w:r w:rsidR="003B3976">
        <w:t xml:space="preserve"> </w:t>
      </w:r>
      <w:r>
        <w:t>also noted that water quality modelling indicated that the adopted water quality criteria would not be met for a significant proport</w:t>
      </w:r>
      <w:r w:rsidR="003B3976">
        <w:t>ion of the time of the project.</w:t>
      </w:r>
    </w:p>
    <w:p w14:paraId="44A1463F" w14:textId="565C511A" w:rsidR="00E82C51" w:rsidRDefault="00E82C51" w:rsidP="00E82C51">
      <w:pPr>
        <w:pStyle w:val="BodyText"/>
      </w:pPr>
      <w:r>
        <w:t>Overall, the Auditor stated that whil</w:t>
      </w:r>
      <w:r w:rsidR="003B3976">
        <w:t>e</w:t>
      </w:r>
      <w:r>
        <w:t xml:space="preserve"> deficiencies existed in the hydrologic assessment these could probably be addressed by later studies for detailed design and environmental management. However</w:t>
      </w:r>
      <w:r w:rsidR="003B3976">
        <w:t>,</w:t>
      </w:r>
      <w:r>
        <w:t xml:space="preserve"> the Auditor was not confident that the water quality criteria used and proposed mitigation measures were appropriate in order to achieve </w:t>
      </w:r>
      <w:r w:rsidR="003B3976">
        <w:t>satisfactory project outcomes.</w:t>
      </w:r>
    </w:p>
    <w:p w14:paraId="7A10C383" w14:textId="4D8C7A55" w:rsidR="00E82C51" w:rsidRDefault="00E82C51" w:rsidP="00E82C51">
      <w:pPr>
        <w:pStyle w:val="Heading3"/>
      </w:pPr>
      <w:r>
        <w:t>1999 Environment Australia Assessment Report</w:t>
      </w:r>
    </w:p>
    <w:p w14:paraId="0BED916C" w14:textId="54DFD147" w:rsidR="00156493" w:rsidRDefault="003B3976" w:rsidP="003B3976">
      <w:pPr>
        <w:pStyle w:val="BodyText"/>
      </w:pPr>
      <w:r>
        <w:t xml:space="preserve">A number of submissions to the Draft EIS raised concerns </w:t>
      </w:r>
      <w:r w:rsidR="00AA07C9">
        <w:t>about</w:t>
      </w:r>
      <w:r>
        <w:t xml:space="preserve"> the standard of the existing water quality sampling that was conducted as part of the assessment. The NSW Government submission stated that the water quality sampling appeared to be single samples </w:t>
      </w:r>
      <w:r w:rsidR="00AA07C9">
        <w:t>that</w:t>
      </w:r>
      <w:r>
        <w:t xml:space="preserve"> were accompanied by inadequate descr</w:t>
      </w:r>
      <w:r w:rsidR="00156493">
        <w:t>iptions of sampling conditions.</w:t>
      </w:r>
    </w:p>
    <w:p w14:paraId="6270E145" w14:textId="7DD5A095" w:rsidR="003B3976" w:rsidRDefault="003B3976" w:rsidP="003B3976">
      <w:pPr>
        <w:pStyle w:val="BodyText"/>
      </w:pPr>
      <w:r>
        <w:t xml:space="preserve">The Supplement to the Draft EIS conducted further water quality sampling however </w:t>
      </w:r>
      <w:r w:rsidR="00AA07C9">
        <w:t xml:space="preserve">it was noted that this </w:t>
      </w:r>
      <w:r>
        <w:t>was limited to four sampling events. The</w:t>
      </w:r>
      <w:r w:rsidR="00156493">
        <w:t xml:space="preserve"> EA</w:t>
      </w:r>
      <w:r>
        <w:t xml:space="preserve"> </w:t>
      </w:r>
      <w:r w:rsidR="00156493">
        <w:t>assessment r</w:t>
      </w:r>
      <w:r>
        <w:t>eport stated that this level of sampling may not provide an adequate representation of the water quality at the site under a range of different environmental conditions. The report emphasised the importance of adequately establishing existing water quality to provide an accurate baseline that any future chang</w:t>
      </w:r>
      <w:r w:rsidR="00156493">
        <w:t xml:space="preserve">es </w:t>
      </w:r>
      <w:r w:rsidR="00AA07C9">
        <w:t>could</w:t>
      </w:r>
      <w:r w:rsidR="00156493">
        <w:t xml:space="preserve"> be benchmarked against.</w:t>
      </w:r>
    </w:p>
    <w:p w14:paraId="1F7F0476" w14:textId="0ECE2113" w:rsidR="003B3976" w:rsidRDefault="003B3976" w:rsidP="003B3976">
      <w:pPr>
        <w:pStyle w:val="BodyText"/>
      </w:pPr>
      <w:r>
        <w:t xml:space="preserve">The </w:t>
      </w:r>
      <w:r w:rsidR="00AA07C9">
        <w:t>EA report</w:t>
      </w:r>
      <w:r>
        <w:t xml:space="preserve"> </w:t>
      </w:r>
      <w:r w:rsidR="00AA07C9">
        <w:t>no</w:t>
      </w:r>
      <w:r>
        <w:t xml:space="preserve">ted that the EIS contributed to </w:t>
      </w:r>
      <w:r w:rsidR="00156493">
        <w:t>available</w:t>
      </w:r>
      <w:r>
        <w:t xml:space="preserve"> information</w:t>
      </w:r>
      <w:r w:rsidR="00156493">
        <w:t xml:space="preserve"> on </w:t>
      </w:r>
      <w:r>
        <w:t>water quality and hydrology of the area, but further studies need</w:t>
      </w:r>
      <w:r w:rsidR="00AA07C9">
        <w:t>ed</w:t>
      </w:r>
      <w:r>
        <w:t xml:space="preserve"> to be undertaken to </w:t>
      </w:r>
      <w:r w:rsidR="00AA07C9">
        <w:t>inform</w:t>
      </w:r>
      <w:r>
        <w:t xml:space="preserve"> the design of appropriate environmental management measures.</w:t>
      </w:r>
    </w:p>
    <w:p w14:paraId="66DAE806" w14:textId="77777777" w:rsidR="003B3976" w:rsidRDefault="003B3976" w:rsidP="003B3976">
      <w:pPr>
        <w:pStyle w:val="BodyText"/>
      </w:pPr>
      <w:r>
        <w:t>The report made the following recommendations:</w:t>
      </w:r>
    </w:p>
    <w:p w14:paraId="7704211E" w14:textId="14D788EE" w:rsidR="003B3976" w:rsidRDefault="003B3976" w:rsidP="00AF0095">
      <w:pPr>
        <w:pStyle w:val="ListBullet"/>
      </w:pPr>
      <w:r>
        <w:t>Time series information must be acquired on the hydrology, hydrogeology, and water quality of the airport site and, as necessary, adjacent areas, and analyses conducted of soil structure and chemistry sufficient for airport design and construction and the design of environmental management measures.</w:t>
      </w:r>
    </w:p>
    <w:p w14:paraId="74776E29" w14:textId="0D1E370A" w:rsidR="003B3976" w:rsidRDefault="003B3976" w:rsidP="00AF0095">
      <w:pPr>
        <w:pStyle w:val="ListBullet"/>
      </w:pPr>
      <w:r>
        <w:t>A water cycle management plan for the airport should be developed in consultation with New South Wales and local government authorities, and integrated into the official environment strategy for the airport. The plan should provide for the integrated management of all principal elements of the water cycle.</w:t>
      </w:r>
    </w:p>
    <w:p w14:paraId="04EA0CB8" w14:textId="28623188" w:rsidR="005720AC" w:rsidRDefault="003B3976" w:rsidP="00AF0095">
      <w:pPr>
        <w:pStyle w:val="ListBullet"/>
      </w:pPr>
      <w:r>
        <w:t>Any water discharged from the airport site must meet quality standards required by the New South Wales Government and, as far as practicable, be consistent with Australian water quality guidelines for fresh waters that are in place at the time.</w:t>
      </w:r>
    </w:p>
    <w:p w14:paraId="1FF437A9" w14:textId="0A6D4BFB" w:rsidR="00E82C51" w:rsidRDefault="00E82C51" w:rsidP="00E82C51">
      <w:pPr>
        <w:pStyle w:val="Heading3"/>
      </w:pPr>
      <w:r>
        <w:t>Other investigations</w:t>
      </w:r>
    </w:p>
    <w:p w14:paraId="0A7BCEB8" w14:textId="01AEC562" w:rsidR="00FA1880" w:rsidRDefault="00FA1880" w:rsidP="005613AC">
      <w:pPr>
        <w:pStyle w:val="Subheading"/>
      </w:pPr>
      <w:r>
        <w:t>Salinity</w:t>
      </w:r>
    </w:p>
    <w:p w14:paraId="71ABC01A" w14:textId="77777777" w:rsidR="00485319" w:rsidRDefault="00672A47" w:rsidP="00E82C51">
      <w:pPr>
        <w:pStyle w:val="BodyText"/>
      </w:pPr>
      <w:r w:rsidRPr="00672A47">
        <w:t>Salinity is known to occur in shallow soils and groundwater seepages in Western Sydney.</w:t>
      </w:r>
      <w:r>
        <w:t xml:space="preserve"> </w:t>
      </w:r>
      <w:r w:rsidR="002952CA">
        <w:t>In 2002, the then NSW Department of Infrastructure, Planning and Natural Resources published a map showing salinity potential in Western Sydney. This showed land in the Badgerys Creek locality to generally have moderate salinity potential. Smaller areas associated with drainage lines were mapped as having known salinity or high salinity potential.</w:t>
      </w:r>
    </w:p>
    <w:p w14:paraId="516AE03F" w14:textId="414401C9" w:rsidR="002952CA" w:rsidRDefault="00485319" w:rsidP="00E82C51">
      <w:pPr>
        <w:pStyle w:val="BodyText"/>
      </w:pPr>
      <w:r>
        <w:t xml:space="preserve">McNally (2009) reported the findings of an investigation into soil and groundwater salinity in the shales of Western Sydney. This noted that salinity in the upper aquifer was low (&lt;1000 mg/L) and was similar to surface water, while in the lower aquifer it was high to very high (10,000–30,000 mg/L). The storage volume of the lower aquifer was very small with groundwater generally confined to unweathered but jointed shale </w:t>
      </w:r>
      <w:proofErr w:type="gramStart"/>
      <w:r>
        <w:t>bedrock ,</w:t>
      </w:r>
      <w:proofErr w:type="gramEnd"/>
      <w:r>
        <w:t xml:space="preserve"> generally </w:t>
      </w:r>
      <w:r w:rsidR="002F1D03">
        <w:t>with</w:t>
      </w:r>
      <w:r>
        <w:t xml:space="preserve"> depths of &gt;3–6 metres.</w:t>
      </w:r>
    </w:p>
    <w:p w14:paraId="0BA16EE9" w14:textId="0E7D0040" w:rsidR="00FA1880" w:rsidRDefault="00FA1880" w:rsidP="00E82C51">
      <w:pPr>
        <w:pStyle w:val="BodyText"/>
      </w:pPr>
      <w:r>
        <w:t xml:space="preserve">Salinity is </w:t>
      </w:r>
      <w:r w:rsidR="00E311F0">
        <w:t xml:space="preserve">considered </w:t>
      </w:r>
      <w:r>
        <w:t xml:space="preserve">unlikely to be a major issue with regard to existing management of the Commonwealth land. Any development of the land should, however, give appropriate consideration to </w:t>
      </w:r>
      <w:r w:rsidR="00A52EE4">
        <w:t>potential effects on infrastructure (</w:t>
      </w:r>
      <w:r w:rsidR="00A119BB">
        <w:t xml:space="preserve">e.g. </w:t>
      </w:r>
      <w:r w:rsidR="00A52EE4">
        <w:t xml:space="preserve">corrosion), and </w:t>
      </w:r>
      <w:r w:rsidR="001C7809">
        <w:t>to</w:t>
      </w:r>
      <w:r w:rsidR="00A52EE4">
        <w:t xml:space="preserve"> both on-site and off-site effects of disturbance of saline groundwater.</w:t>
      </w:r>
    </w:p>
    <w:p w14:paraId="5630F98A" w14:textId="77777777" w:rsidR="00FA1880" w:rsidRDefault="00FA1880" w:rsidP="005613AC">
      <w:pPr>
        <w:pStyle w:val="Subheading"/>
      </w:pPr>
      <w:r>
        <w:t>Water quality</w:t>
      </w:r>
    </w:p>
    <w:p w14:paraId="770809CF" w14:textId="2FE1FC86" w:rsidR="00E82C51" w:rsidRDefault="00221CA2" w:rsidP="00E82C51">
      <w:pPr>
        <w:pStyle w:val="BodyText"/>
      </w:pPr>
      <w:r>
        <w:t>Two investigations into water management in South Creek were undertaken by the Cooperative Research Centre (CRC) for Irrigation Futures that were documented in technical reports (Rae 2007; Singh et al 2009).</w:t>
      </w:r>
    </w:p>
    <w:p w14:paraId="438FDA1E" w14:textId="2F28EB0F" w:rsidR="00A71FFD" w:rsidRDefault="004047FC" w:rsidP="00980FE4">
      <w:pPr>
        <w:pStyle w:val="BodyText"/>
      </w:pPr>
      <w:r>
        <w:t xml:space="preserve">In 2009 </w:t>
      </w:r>
      <w:r w:rsidR="000241E8">
        <w:t>the then NSW Department of Environment and Climate Change (</w:t>
      </w:r>
      <w:r>
        <w:t>DECC</w:t>
      </w:r>
      <w:r w:rsidR="000241E8">
        <w:t>)</w:t>
      </w:r>
      <w:r>
        <w:t xml:space="preserve"> published the findings of a catchment-scale investigation into river health and water quality trends in the </w:t>
      </w:r>
      <w:r w:rsidRPr="00221CA2">
        <w:t xml:space="preserve">Hawkesbury-Nepean River </w:t>
      </w:r>
      <w:r>
        <w:t>system</w:t>
      </w:r>
      <w:r w:rsidR="00980FE4">
        <w:t>. This drew</w:t>
      </w:r>
      <w:r>
        <w:t xml:space="preserve"> on water quality data recorded at sites from which long term records were available, many dating back to the early 1980s.</w:t>
      </w:r>
      <w:r w:rsidR="00980FE4" w:rsidRPr="00980FE4">
        <w:t xml:space="preserve"> </w:t>
      </w:r>
      <w:r w:rsidR="00980FE4">
        <w:t>The report provided an assessment of long-term trends in water quantity, water quality and a range of biological indicators (where sufficient monitoring data existed). It also provided a benchmark for future assessments.</w:t>
      </w:r>
    </w:p>
    <w:p w14:paraId="189F0F80" w14:textId="2331AA5E" w:rsidR="00351996" w:rsidRDefault="00221CA2" w:rsidP="00E82C51">
      <w:pPr>
        <w:pStyle w:val="BodyText"/>
      </w:pPr>
      <w:r>
        <w:t xml:space="preserve">Sydney Water (2012) has undertaken a review and assessment of water quality trends </w:t>
      </w:r>
      <w:r w:rsidRPr="00221CA2">
        <w:t xml:space="preserve">in the Hawkesbury-Nepean River </w:t>
      </w:r>
      <w:r>
        <w:t>system over the period 1994-2011 in relation to improved wastewater strategies.</w:t>
      </w:r>
    </w:p>
    <w:p w14:paraId="2C83F067" w14:textId="5D2B73C7" w:rsidR="00221CA2" w:rsidRDefault="0043103B" w:rsidP="0043103B">
      <w:pPr>
        <w:pStyle w:val="BodyText"/>
      </w:pPr>
      <w:r w:rsidRPr="0043103B">
        <w:t>The Hawkesbury-Nepean River Recovery Program</w:t>
      </w:r>
      <w:r>
        <w:t xml:space="preserve"> (NSW Government 2013), managed by the NSW Government’s Office of the Hawkesbury–Nepean in partnership with other NSW agencies,</w:t>
      </w:r>
      <w:r w:rsidRPr="0043103B">
        <w:t xml:space="preserve"> comprised seven projects </w:t>
      </w:r>
      <w:r>
        <w:t>to</w:t>
      </w:r>
      <w:r w:rsidRPr="0043103B">
        <w:t xml:space="preserve"> improve river health in the Hawkesbury-Nepean River System by making more water available for the environment and reducing nutrient inputs.</w:t>
      </w:r>
    </w:p>
    <w:p w14:paraId="66637136" w14:textId="31611B89" w:rsidR="00A52EE4" w:rsidRDefault="00A52EE4" w:rsidP="0043103B">
      <w:pPr>
        <w:pStyle w:val="BodyText"/>
      </w:pPr>
      <w:r>
        <w:t xml:space="preserve">The above investigations have improved understanding of water quality characteristics and influences in the </w:t>
      </w:r>
      <w:r w:rsidRPr="00221CA2">
        <w:t xml:space="preserve">Hawkesbury-Nepean River </w:t>
      </w:r>
      <w:r>
        <w:t xml:space="preserve">system, and provide direction for management strategies and initiatives aimed at improving water </w:t>
      </w:r>
      <w:r w:rsidR="001C7809">
        <w:t>quality. Associated objectives and targets are of relevance with regard to both existing management and to any future development of the Commonwealth land.</w:t>
      </w:r>
    </w:p>
    <w:p w14:paraId="5A4E7EED" w14:textId="1068406A" w:rsidR="00FA1880" w:rsidRDefault="00FA1880" w:rsidP="005613AC">
      <w:pPr>
        <w:pStyle w:val="Subheading"/>
      </w:pPr>
      <w:r>
        <w:t>Flooding</w:t>
      </w:r>
    </w:p>
    <w:p w14:paraId="4C213E3C" w14:textId="77777777" w:rsidR="001C7809" w:rsidRDefault="00710172" w:rsidP="0043103B">
      <w:pPr>
        <w:pStyle w:val="BodyText"/>
      </w:pPr>
      <w:r>
        <w:t>In March 2014, the NSW Government released a report containing the findings of the first stage of a review into the adequacy and effectiveness of current flood management in the Hawkesbury–Nepean Valley</w:t>
      </w:r>
      <w:r w:rsidR="00FA1880">
        <w:t xml:space="preserve"> (Department of Primary Industries 2014)</w:t>
      </w:r>
      <w:r>
        <w:t>.</w:t>
      </w:r>
      <w:r w:rsidR="00FA1880">
        <w:t xml:space="preserve"> </w:t>
      </w:r>
      <w:r w:rsidR="00FA1880" w:rsidRPr="00FA1880">
        <w:t xml:space="preserve">The overarching objective of the </w:t>
      </w:r>
      <w:r w:rsidR="00FA1880">
        <w:t>r</w:t>
      </w:r>
      <w:r w:rsidR="00FA1880" w:rsidRPr="00FA1880">
        <w:t>eview was to develop a package of options to ensure the Hawkesbury-Nepean Valley is strategically managed so the community is more resilient to flood risk.</w:t>
      </w:r>
    </w:p>
    <w:p w14:paraId="7F7764B4" w14:textId="325D5BEA" w:rsidR="00710172" w:rsidRDefault="00FA1880" w:rsidP="0043103B">
      <w:pPr>
        <w:pStyle w:val="BodyText"/>
      </w:pPr>
      <w:r>
        <w:t>The second stage will</w:t>
      </w:r>
      <w:r w:rsidRPr="00FA1880">
        <w:t xml:space="preserve"> </w:t>
      </w:r>
      <w:r>
        <w:t xml:space="preserve">involve </w:t>
      </w:r>
      <w:r w:rsidRPr="00FA1880">
        <w:t xml:space="preserve">a more detailed cost benefit analysis of specific flood mitigation and road infrastructure options, and progress the priority actions identified in </w:t>
      </w:r>
      <w:r>
        <w:t>the first stage</w:t>
      </w:r>
      <w:r w:rsidRPr="00FA1880">
        <w:t xml:space="preserve"> to reduce flood risk in the short and longer term.</w:t>
      </w:r>
      <w:r w:rsidR="001C7809">
        <w:t xml:space="preserve"> At the time of this investigation, no specific information on the timing of completion of this second stage was publicly available.</w:t>
      </w:r>
    </w:p>
    <w:p w14:paraId="1FB10F73" w14:textId="0990684F" w:rsidR="00A52EE4" w:rsidRDefault="00827507" w:rsidP="0043103B">
      <w:pPr>
        <w:pStyle w:val="BodyText"/>
      </w:pPr>
      <w:r>
        <w:t>The review is considered to have limited bearing on e</w:t>
      </w:r>
      <w:r w:rsidR="00A52EE4">
        <w:t>xisting management of the Commonwealth land</w:t>
      </w:r>
      <w:r>
        <w:t xml:space="preserve">. Any future development of the </w:t>
      </w:r>
      <w:r w:rsidR="0084399C">
        <w:t>land</w:t>
      </w:r>
      <w:r>
        <w:t xml:space="preserve"> should include appropriate consultation</w:t>
      </w:r>
      <w:r w:rsidR="00A52EE4">
        <w:t xml:space="preserve"> </w:t>
      </w:r>
      <w:r>
        <w:t>with the NSW Office of Water to identify relevant issues</w:t>
      </w:r>
      <w:r w:rsidR="0084399C">
        <w:t xml:space="preserve"> for consideration with regard to managing flood risk.</w:t>
      </w:r>
    </w:p>
    <w:p w14:paraId="6A6783F9" w14:textId="77777777" w:rsidR="004A07E5" w:rsidRDefault="004A07E5" w:rsidP="004A07E5">
      <w:pPr>
        <w:pStyle w:val="Heading2"/>
      </w:pPr>
      <w:bookmarkStart w:id="67" w:name="_Toc400720091"/>
      <w:r>
        <w:t>Relevant legislation and guidelines</w:t>
      </w:r>
      <w:bookmarkEnd w:id="67"/>
    </w:p>
    <w:p w14:paraId="203EE138" w14:textId="77777777" w:rsidR="004A07E5" w:rsidRDefault="004A07E5" w:rsidP="004A07E5">
      <w:pPr>
        <w:pStyle w:val="Heading3"/>
      </w:pPr>
      <w:r>
        <w:t>Commonwealth</w:t>
      </w:r>
    </w:p>
    <w:p w14:paraId="2752DB31" w14:textId="37532F08" w:rsidR="004A07E5" w:rsidRDefault="00E82C51" w:rsidP="005613AC">
      <w:pPr>
        <w:pStyle w:val="Subheading"/>
      </w:pPr>
      <w:r>
        <w:t>Environment Protection and Biodiversity Conservation Act 1999</w:t>
      </w:r>
    </w:p>
    <w:p w14:paraId="63469217" w14:textId="01E1490C" w:rsidR="00E82C51" w:rsidRDefault="00302F14" w:rsidP="004A07E5">
      <w:pPr>
        <w:pStyle w:val="BodyText"/>
      </w:pPr>
      <w:r>
        <w:t xml:space="preserve">The </w:t>
      </w:r>
      <w:r w:rsidR="00684121">
        <w:t xml:space="preserve">specific provisions in the </w:t>
      </w:r>
      <w:r>
        <w:t xml:space="preserve">EPBC Act </w:t>
      </w:r>
      <w:r w:rsidR="00684121">
        <w:t>addressing water resource management relate to designation of water resources as a MNES for coal seam gas and large coal mining development. DoE has released significant impact guidelines in this regard.</w:t>
      </w:r>
    </w:p>
    <w:p w14:paraId="5AF82E98" w14:textId="36BE68A2" w:rsidR="00E82C51" w:rsidRDefault="00684121" w:rsidP="004A07E5">
      <w:pPr>
        <w:pStyle w:val="BodyText"/>
      </w:pPr>
      <w:r>
        <w:t xml:space="preserve">The EPBC Act contains other provisions that indirectly address the management of water resources, principally </w:t>
      </w:r>
      <w:r w:rsidR="00AA3BA8">
        <w:t xml:space="preserve">in relation </w:t>
      </w:r>
      <w:r>
        <w:t>to biodiversity conservation such as impacts on wetlands of international importance (Ramsar wetlands), and habitats containing threatened ecological communities, or which are utilised by threatened species and/or migratory species.</w:t>
      </w:r>
    </w:p>
    <w:p w14:paraId="7E2068AA" w14:textId="194DAD2C" w:rsidR="00E82C51" w:rsidRDefault="00051D7B" w:rsidP="005613AC">
      <w:pPr>
        <w:pStyle w:val="Subheading"/>
      </w:pPr>
      <w:r>
        <w:t xml:space="preserve">ANZECC </w:t>
      </w:r>
      <w:r w:rsidRPr="00051D7B">
        <w:t>Guidelines for Fresh and Marine Water Quality</w:t>
      </w:r>
      <w:r>
        <w:t xml:space="preserve"> (2000)</w:t>
      </w:r>
    </w:p>
    <w:p w14:paraId="3C5C2DBB" w14:textId="5C907242" w:rsidR="00E82C51" w:rsidRDefault="00303F6E" w:rsidP="004A07E5">
      <w:pPr>
        <w:pStyle w:val="BodyText"/>
      </w:pPr>
      <w:r w:rsidRPr="00303F6E">
        <w:t xml:space="preserve">The </w:t>
      </w:r>
      <w:r w:rsidRPr="004C53E8">
        <w:rPr>
          <w:i/>
        </w:rPr>
        <w:t>Australian Water Quality Guidelines for Fresh and Marine Waters</w:t>
      </w:r>
      <w:r w:rsidRPr="00303F6E">
        <w:t xml:space="preserve"> (ANZECC</w:t>
      </w:r>
      <w:r w:rsidR="004C53E8">
        <w:t xml:space="preserve"> 2000</w:t>
      </w:r>
      <w:r w:rsidRPr="00303F6E">
        <w:t>) w</w:t>
      </w:r>
      <w:r>
        <w:t>ere originally released in 1992 to support</w:t>
      </w:r>
      <w:r w:rsidRPr="00303F6E">
        <w:t xml:space="preserve"> the N</w:t>
      </w:r>
      <w:r>
        <w:t xml:space="preserve">ational </w:t>
      </w:r>
      <w:r w:rsidRPr="00303F6E">
        <w:t>W</w:t>
      </w:r>
      <w:r>
        <w:t xml:space="preserve">ater </w:t>
      </w:r>
      <w:r w:rsidRPr="00303F6E">
        <w:t>Q</w:t>
      </w:r>
      <w:r>
        <w:t xml:space="preserve">uality </w:t>
      </w:r>
      <w:r w:rsidRPr="00303F6E">
        <w:t>M</w:t>
      </w:r>
      <w:r>
        <w:t xml:space="preserve">anagement </w:t>
      </w:r>
      <w:r w:rsidRPr="00303F6E">
        <w:t>S</w:t>
      </w:r>
      <w:r>
        <w:t>trategy (NWQMS).</w:t>
      </w:r>
      <w:r w:rsidRPr="00303F6E">
        <w:t xml:space="preserve"> </w:t>
      </w:r>
      <w:r>
        <w:t xml:space="preserve">The </w:t>
      </w:r>
      <w:r w:rsidRPr="00303F6E">
        <w:t xml:space="preserve">NWQMS aims to achieve the sustainable use of Australia's </w:t>
      </w:r>
      <w:r>
        <w:t>(</w:t>
      </w:r>
      <w:r w:rsidRPr="00303F6E">
        <w:t>and New Zealand's</w:t>
      </w:r>
      <w:r>
        <w:t>)</w:t>
      </w:r>
      <w:r w:rsidRPr="00303F6E">
        <w:t xml:space="preserve"> water resources by protecting and enhancing their quality while maintaining economic and social development. The NWQMS is a joint strategy developed by the Agriculture and Resources Management Council of Australia and New Zealand and the Australian and New Zealand Environment and Conservation Council (ANZECC). The Australian National Health and Medical Research Council (NHMRC) </w:t>
      </w:r>
      <w:proofErr w:type="gramStart"/>
      <w:r w:rsidRPr="00303F6E">
        <w:t>is</w:t>
      </w:r>
      <w:proofErr w:type="gramEnd"/>
      <w:r w:rsidRPr="00303F6E">
        <w:t xml:space="preserve"> involved in aspects of the strategy that affect public health. The NWQMS aims to meet future needs by providing policies, a process and national guidelines for water quality management</w:t>
      </w:r>
      <w:r>
        <w:rPr>
          <w:rStyle w:val="FootnoteReference"/>
        </w:rPr>
        <w:footnoteReference w:id="4"/>
      </w:r>
      <w:r w:rsidRPr="00303F6E">
        <w:t>.</w:t>
      </w:r>
    </w:p>
    <w:p w14:paraId="3D6E4F40" w14:textId="4574E500" w:rsidR="00051D7B" w:rsidRDefault="00303F6E" w:rsidP="004A07E5">
      <w:pPr>
        <w:pStyle w:val="BodyText"/>
      </w:pPr>
      <w:r>
        <w:t>The Guidelines were subsequently revised and reissued in 2000 to take account of major policy initiatives, a more holistic approach to management of aquatic systems and advances in technical knowledge.</w:t>
      </w:r>
    </w:p>
    <w:p w14:paraId="428ED7D6" w14:textId="26786C96" w:rsidR="00303F6E" w:rsidRDefault="00302F14" w:rsidP="004A07E5">
      <w:pPr>
        <w:pStyle w:val="BodyText"/>
      </w:pPr>
      <w:r>
        <w:t>The Guidelines:</w:t>
      </w:r>
    </w:p>
    <w:p w14:paraId="223E23ED" w14:textId="5F52E2AB" w:rsidR="00302F14" w:rsidRDefault="007A055C" w:rsidP="00AF0095">
      <w:pPr>
        <w:pStyle w:val="ListBullet"/>
      </w:pPr>
      <w:r>
        <w:t>o</w:t>
      </w:r>
      <w:r w:rsidR="00302F14">
        <w:t>utline the important principles, objectives and philosophical basis underpinning the development and application of the guidelines</w:t>
      </w:r>
    </w:p>
    <w:p w14:paraId="482F6FB8" w14:textId="55CCCD81" w:rsidR="00302F14" w:rsidRDefault="007A055C" w:rsidP="00AF0095">
      <w:pPr>
        <w:pStyle w:val="ListBullet"/>
      </w:pPr>
      <w:r>
        <w:t>o</w:t>
      </w:r>
      <w:r w:rsidR="00302F14">
        <w:t>utline the management framework recommended for applying the water quality guidelines to the natural and semi-natural marine and fresh water resources in Australia (and New Zealand)</w:t>
      </w:r>
    </w:p>
    <w:p w14:paraId="7E9ED0C2" w14:textId="403CFCCA" w:rsidR="00302F14" w:rsidRDefault="007A055C" w:rsidP="00AF0095">
      <w:pPr>
        <w:pStyle w:val="ListBullet"/>
      </w:pPr>
      <w:r>
        <w:t>p</w:t>
      </w:r>
      <w:r w:rsidR="00302F14">
        <w:t>rovide a summary of the water quality guidelines proposed to protect and manage the environmental values supported by the water resources</w:t>
      </w:r>
    </w:p>
    <w:p w14:paraId="3BCA0E58" w14:textId="57D4D792" w:rsidR="00302F14" w:rsidRDefault="007A055C" w:rsidP="00AF0095">
      <w:pPr>
        <w:pStyle w:val="ListBullet"/>
      </w:pPr>
      <w:proofErr w:type="gramStart"/>
      <w:r>
        <w:t>p</w:t>
      </w:r>
      <w:r w:rsidR="00302F14">
        <w:t>rovide</w:t>
      </w:r>
      <w:proofErr w:type="gramEnd"/>
      <w:r w:rsidR="00302F14">
        <w:t xml:space="preserve"> advice on designing and implementing water quality monitoring and assessment programs.</w:t>
      </w:r>
    </w:p>
    <w:p w14:paraId="36173886" w14:textId="5C838ABD" w:rsidR="00051D7B" w:rsidRDefault="00051D7B" w:rsidP="004A07E5">
      <w:pPr>
        <w:pStyle w:val="BodyText"/>
      </w:pPr>
      <w:r>
        <w:t>The Guidelines have also been adopted by the NSW Government.</w:t>
      </w:r>
    </w:p>
    <w:p w14:paraId="4BE32BE2" w14:textId="6FD771DB" w:rsidR="00051D7B" w:rsidRDefault="00A836D1" w:rsidP="005613AC">
      <w:pPr>
        <w:pStyle w:val="Subheading"/>
      </w:pPr>
      <w:r>
        <w:t>Australian Drinking Water Guidelines</w:t>
      </w:r>
      <w:r w:rsidR="004C53E8">
        <w:t xml:space="preserve"> 2011</w:t>
      </w:r>
    </w:p>
    <w:p w14:paraId="20F28CE8" w14:textId="3616BD83" w:rsidR="004C53E8" w:rsidRDefault="004C53E8" w:rsidP="00051D7B">
      <w:pPr>
        <w:pStyle w:val="BodyText"/>
        <w:rPr>
          <w:highlight w:val="yellow"/>
        </w:rPr>
      </w:pPr>
      <w:r w:rsidRPr="004C53E8">
        <w:t xml:space="preserve">The 2011 </w:t>
      </w:r>
      <w:r w:rsidRPr="00EA61E8">
        <w:rPr>
          <w:i/>
        </w:rPr>
        <w:t>Australian Drinking Water Guidelines</w:t>
      </w:r>
      <w:r w:rsidRPr="004C53E8">
        <w:t xml:space="preserve"> (ADWG) </w:t>
      </w:r>
      <w:proofErr w:type="gramStart"/>
      <w:r w:rsidRPr="004C53E8">
        <w:t>have</w:t>
      </w:r>
      <w:proofErr w:type="gramEnd"/>
      <w:r w:rsidRPr="004C53E8">
        <w:t xml:space="preserve"> been developed by the NHMRC in collaboration with the Natural Resource Management Ministerial Council. The ADWG are designed to provide an authoritative reference to the Australian community and the water supply industry on what defines safe, good quality water, how it can be achieved and how it can be assured. The guidelines address both the health and aesthetic quality aspects of supplying good quality drinking water</w:t>
      </w:r>
      <w:r>
        <w:rPr>
          <w:rStyle w:val="FootnoteReference"/>
        </w:rPr>
        <w:footnoteReference w:id="5"/>
      </w:r>
      <w:r w:rsidRPr="004C53E8">
        <w:t>.</w:t>
      </w:r>
    </w:p>
    <w:p w14:paraId="30AFA2F8" w14:textId="77777777" w:rsidR="004A07E5" w:rsidRDefault="004A07E5" w:rsidP="004A07E5">
      <w:pPr>
        <w:pStyle w:val="Heading3"/>
      </w:pPr>
      <w:r>
        <w:t>New South Wales</w:t>
      </w:r>
    </w:p>
    <w:p w14:paraId="4DA09C3F" w14:textId="77777777" w:rsidR="004C53E8" w:rsidRDefault="004C53E8" w:rsidP="005613AC">
      <w:pPr>
        <w:pStyle w:val="Subheading"/>
      </w:pPr>
      <w:r>
        <w:t>Protection of the Environment Operations Act 1997</w:t>
      </w:r>
    </w:p>
    <w:p w14:paraId="2596EA84" w14:textId="4B8D18B1" w:rsidR="004C53E8" w:rsidRDefault="00F8613D" w:rsidP="004C53E8">
      <w:pPr>
        <w:pStyle w:val="BodyText"/>
      </w:pPr>
      <w:r>
        <w:t>The POEO Act contains a range of provisions addressing protection of water resources, principally in relation to water quality. These include:</w:t>
      </w:r>
    </w:p>
    <w:p w14:paraId="3484B7DD" w14:textId="2295CF83" w:rsidR="00F8613D" w:rsidRDefault="007A055C" w:rsidP="00AF0095">
      <w:pPr>
        <w:pStyle w:val="ListBullet"/>
      </w:pPr>
      <w:r>
        <w:t>a</w:t>
      </w:r>
      <w:r w:rsidR="00F8613D">
        <w:t xml:space="preserve"> general provision on the pollution of waters (Section 120)</w:t>
      </w:r>
    </w:p>
    <w:p w14:paraId="58E30BCA" w14:textId="78935B2B" w:rsidR="00F8613D" w:rsidRDefault="007A055C" w:rsidP="00AF0095">
      <w:pPr>
        <w:pStyle w:val="ListBullet"/>
      </w:pPr>
      <w:r>
        <w:t>l</w:t>
      </w:r>
      <w:r w:rsidR="00F8613D">
        <w:t>icensing of development and activities that are likely or have potential to impact on water quality (and an associated compliance framework)</w:t>
      </w:r>
    </w:p>
    <w:p w14:paraId="3705F0A1" w14:textId="2C3D8EEC" w:rsidR="00F8613D" w:rsidRDefault="007A055C" w:rsidP="00AF0095">
      <w:pPr>
        <w:pStyle w:val="ListBullet"/>
      </w:pPr>
      <w:proofErr w:type="gramStart"/>
      <w:r>
        <w:t>a</w:t>
      </w:r>
      <w:proofErr w:type="gramEnd"/>
      <w:r w:rsidR="00F8613D">
        <w:t xml:space="preserve"> duty to notify </w:t>
      </w:r>
      <w:r w:rsidR="00EA61E8">
        <w:t xml:space="preserve">the </w:t>
      </w:r>
      <w:r w:rsidR="00F8613D">
        <w:t>EPA in the event of a pollution incident causing or threatening material harm.</w:t>
      </w:r>
    </w:p>
    <w:p w14:paraId="692A5C34" w14:textId="77777777" w:rsidR="004C53E8" w:rsidRDefault="004C53E8" w:rsidP="005613AC">
      <w:pPr>
        <w:pStyle w:val="Subheading"/>
      </w:pPr>
      <w:r>
        <w:t>Water Management Act 2000</w:t>
      </w:r>
    </w:p>
    <w:p w14:paraId="7B3BF46F" w14:textId="6A1AD59D" w:rsidR="00F8613D" w:rsidRDefault="00F8613D" w:rsidP="00F8613D">
      <w:pPr>
        <w:pStyle w:val="BodyText"/>
      </w:pPr>
      <w:r>
        <w:t xml:space="preserve">The </w:t>
      </w:r>
      <w:r w:rsidRPr="00C87291">
        <w:rPr>
          <w:i/>
        </w:rPr>
        <w:t>Water Management Act 2000</w:t>
      </w:r>
      <w:r>
        <w:t xml:space="preserve"> provides for the sustainable and integrated management of the water sources of </w:t>
      </w:r>
      <w:r w:rsidR="00EA61E8">
        <w:t>NSW</w:t>
      </w:r>
      <w:r>
        <w:t xml:space="preserve"> for the benefit of present and future generations. The Act controls the extraction of and use of water</w:t>
      </w:r>
      <w:r w:rsidR="0019406C">
        <w:t xml:space="preserve"> (surface </w:t>
      </w:r>
      <w:r w:rsidR="00EA61E8">
        <w:t xml:space="preserve">water, </w:t>
      </w:r>
      <w:r w:rsidR="0019406C">
        <w:t>groundwater)</w:t>
      </w:r>
      <w:r>
        <w:t xml:space="preserve">, the construction of works </w:t>
      </w:r>
      <w:r w:rsidR="0019406C">
        <w:t>in waterways</w:t>
      </w:r>
      <w:r>
        <w:t>, and the carrying out of activities in or near water sources in NSW.</w:t>
      </w:r>
    </w:p>
    <w:p w14:paraId="03D7666E" w14:textId="172EECA0" w:rsidR="004C53E8" w:rsidRDefault="0019406C" w:rsidP="004C53E8">
      <w:pPr>
        <w:pStyle w:val="BodyText"/>
      </w:pPr>
      <w:r>
        <w:t>There are various policies that support the objectives of the Act including:</w:t>
      </w:r>
    </w:p>
    <w:p w14:paraId="480E2A13" w14:textId="28B66A99" w:rsidR="00915122" w:rsidRDefault="00915122" w:rsidP="00AF0095">
      <w:pPr>
        <w:pStyle w:val="ListBullet"/>
      </w:pPr>
      <w:r>
        <w:t>The NSW State Groundwater Policy Framework Document (1997)</w:t>
      </w:r>
    </w:p>
    <w:p w14:paraId="7E386C85" w14:textId="24F2FCAE" w:rsidR="0019406C" w:rsidRDefault="0019406C" w:rsidP="00AF0095">
      <w:pPr>
        <w:pStyle w:val="ListBullet"/>
      </w:pPr>
      <w:r>
        <w:t xml:space="preserve">The NSW State Groundwater Quality </w:t>
      </w:r>
      <w:r w:rsidR="00A72922">
        <w:t xml:space="preserve">Protection </w:t>
      </w:r>
      <w:r>
        <w:t xml:space="preserve">Policy </w:t>
      </w:r>
      <w:r w:rsidR="00A72922">
        <w:t>(1998)</w:t>
      </w:r>
    </w:p>
    <w:p w14:paraId="3419ACCE" w14:textId="2D5B5C5C" w:rsidR="00915122" w:rsidRDefault="00915122" w:rsidP="00AF0095">
      <w:pPr>
        <w:pStyle w:val="ListBullet"/>
      </w:pPr>
      <w:r>
        <w:t>The NSW State Groundwater Dependent Ecosystems Policy (2002)</w:t>
      </w:r>
    </w:p>
    <w:p w14:paraId="79242D9F" w14:textId="02A701CC" w:rsidR="00915122" w:rsidRDefault="00915122" w:rsidP="00AF0095">
      <w:pPr>
        <w:pStyle w:val="ListBullet"/>
      </w:pPr>
      <w:r>
        <w:t>NSW Aquifer Interference Policy (2012)</w:t>
      </w:r>
    </w:p>
    <w:p w14:paraId="5BFCA222" w14:textId="397C8E4F" w:rsidR="00915122" w:rsidRDefault="00915122" w:rsidP="00AF0095">
      <w:pPr>
        <w:pStyle w:val="ListBullet"/>
      </w:pPr>
      <w:r>
        <w:t>NSW Floodplain Harvesting Policy (2013).</w:t>
      </w:r>
    </w:p>
    <w:p w14:paraId="413F1DDB" w14:textId="1FCC7276" w:rsidR="004C53E8" w:rsidRDefault="004C53E8" w:rsidP="005613AC">
      <w:pPr>
        <w:pStyle w:val="Subheading"/>
      </w:pPr>
      <w:r>
        <w:t xml:space="preserve">Water Act </w:t>
      </w:r>
      <w:r w:rsidR="00F8613D">
        <w:t>1912</w:t>
      </w:r>
    </w:p>
    <w:p w14:paraId="0FBFE8D4" w14:textId="3328CBE0" w:rsidR="004C53E8" w:rsidRDefault="00F8613D" w:rsidP="004C53E8">
      <w:pPr>
        <w:pStyle w:val="BodyText"/>
      </w:pPr>
      <w:r w:rsidRPr="00F8613D">
        <w:t xml:space="preserve">The </w:t>
      </w:r>
      <w:r w:rsidRPr="0019406C">
        <w:rPr>
          <w:i/>
        </w:rPr>
        <w:t>Water Act 1912</w:t>
      </w:r>
      <w:r w:rsidRPr="00F8613D">
        <w:t xml:space="preserve"> came into force </w:t>
      </w:r>
      <w:r w:rsidR="0019406C">
        <w:t>in the early 20th</w:t>
      </w:r>
      <w:r w:rsidRPr="00F8613D">
        <w:t xml:space="preserve"> </w:t>
      </w:r>
      <w:r w:rsidR="0019406C">
        <w:t>C</w:t>
      </w:r>
      <w:r w:rsidRPr="00F8613D">
        <w:t xml:space="preserve">entury. </w:t>
      </w:r>
      <w:r w:rsidR="0019406C">
        <w:t>It</w:t>
      </w:r>
      <w:r w:rsidRPr="00F8613D">
        <w:t xml:space="preserve"> is being progressively phased out and replaced by the </w:t>
      </w:r>
      <w:r w:rsidRPr="0019406C">
        <w:rPr>
          <w:i/>
        </w:rPr>
        <w:t>Water Management Act 2000</w:t>
      </w:r>
      <w:r w:rsidRPr="00F8613D">
        <w:t>, but some provisions are still in force.</w:t>
      </w:r>
    </w:p>
    <w:p w14:paraId="0CA2F7AD" w14:textId="77777777" w:rsidR="00A30B31" w:rsidRDefault="00A30B31" w:rsidP="005613AC">
      <w:pPr>
        <w:pStyle w:val="Subheading"/>
      </w:pPr>
      <w:r>
        <w:t>EPIs made under the EP&amp;A Act</w:t>
      </w:r>
    </w:p>
    <w:p w14:paraId="32195BC0" w14:textId="59501FBE" w:rsidR="0044667E" w:rsidRPr="0044667E" w:rsidRDefault="00EA61E8" w:rsidP="00A30B31">
      <w:pPr>
        <w:pStyle w:val="BodyText"/>
      </w:pPr>
      <w:r w:rsidRPr="003B020D">
        <w:t>Part 3 of the EP&amp;A Act provides for the making of specific EPIs to regulate land use and development.</w:t>
      </w:r>
      <w:r>
        <w:t xml:space="preserve"> </w:t>
      </w:r>
      <w:r w:rsidR="0044667E" w:rsidRPr="0044667E">
        <w:t>The</w:t>
      </w:r>
      <w:r w:rsidR="00B81D9B">
        <w:t>re are two</w:t>
      </w:r>
      <w:r w:rsidR="0044667E" w:rsidRPr="0044667E">
        <w:t xml:space="preserve"> EPI</w:t>
      </w:r>
      <w:r w:rsidR="00B81D9B">
        <w:t>s</w:t>
      </w:r>
      <w:r w:rsidR="0044667E" w:rsidRPr="0044667E">
        <w:t xml:space="preserve"> of </w:t>
      </w:r>
      <w:r w:rsidR="00B81D9B">
        <w:t xml:space="preserve">potential </w:t>
      </w:r>
      <w:r w:rsidR="0044667E" w:rsidRPr="0044667E">
        <w:t xml:space="preserve">relevance </w:t>
      </w:r>
      <w:r w:rsidR="0044667E">
        <w:t>in relation to water resource management</w:t>
      </w:r>
      <w:r w:rsidR="00B81D9B">
        <w:t xml:space="preserve"> as noted in the following table.</w:t>
      </w:r>
    </w:p>
    <w:p w14:paraId="3CC8B1AE" w14:textId="5A001C9F" w:rsidR="007D21D4" w:rsidRDefault="007D21D4" w:rsidP="007D21D4">
      <w:pPr>
        <w:pStyle w:val="Caption"/>
        <w:keepNext/>
        <w:ind w:left="1134" w:hanging="1134"/>
      </w:pPr>
      <w:bookmarkStart w:id="68" w:name="_Toc402442846"/>
      <w:proofErr w:type="gramStart"/>
      <w:r>
        <w:t xml:space="preserve">Table </w:t>
      </w:r>
      <w:fldSimple w:instr=" STYLEREF 1 \s ">
        <w:r w:rsidR="004E469D">
          <w:rPr>
            <w:noProof/>
          </w:rPr>
          <w:t>5</w:t>
        </w:r>
      </w:fldSimple>
      <w:r w:rsidR="00EF76BA">
        <w:t>.</w:t>
      </w:r>
      <w:proofErr w:type="gramEnd"/>
      <w:r w:rsidR="001C525C">
        <w:fldChar w:fldCharType="begin"/>
      </w:r>
      <w:r w:rsidR="001C525C">
        <w:instrText xml:space="preserve"> SEQ Table \* ARABIC \s 1 </w:instrText>
      </w:r>
      <w:r w:rsidR="001C525C">
        <w:fldChar w:fldCharType="separate"/>
      </w:r>
      <w:r w:rsidR="004E469D">
        <w:rPr>
          <w:noProof/>
        </w:rPr>
        <w:t>1</w:t>
      </w:r>
      <w:r w:rsidR="001C525C">
        <w:rPr>
          <w:noProof/>
        </w:rPr>
        <w:fldChar w:fldCharType="end"/>
      </w:r>
      <w:r>
        <w:tab/>
      </w:r>
      <w:r w:rsidRPr="00986B5F">
        <w:t xml:space="preserve">EPIs made under the EP&amp;A Act related to </w:t>
      </w:r>
      <w:r>
        <w:t>h</w:t>
      </w:r>
      <w:r w:rsidR="005431E1">
        <w:t>ydrology and water resources</w:t>
      </w:r>
      <w:bookmarkEnd w:id="68"/>
    </w:p>
    <w:tbl>
      <w:tblPr>
        <w:tblStyle w:val="TableGrid"/>
        <w:tblW w:w="9072" w:type="dxa"/>
        <w:tblBorders>
          <w:bottom w:val="single" w:sz="4" w:space="0" w:color="auto"/>
        </w:tblBorders>
        <w:tblLook w:val="04A0" w:firstRow="1" w:lastRow="0" w:firstColumn="1" w:lastColumn="0" w:noHBand="0" w:noVBand="1"/>
        <w:tblCaption w:val="Table 5.1 EPIs made under the EP&amp;A Act related to hydrology and water resources"/>
        <w:tblDescription w:val="Table 5.1 EPIs made under the EP&amp;A Act related to hydrology and water resources"/>
      </w:tblPr>
      <w:tblGrid>
        <w:gridCol w:w="2518"/>
        <w:gridCol w:w="6554"/>
      </w:tblGrid>
      <w:tr w:rsidR="00A30B31" w:rsidRPr="00806F5D" w14:paraId="0752569A" w14:textId="77777777" w:rsidTr="005241F5">
        <w:trPr>
          <w:trHeight w:val="340"/>
          <w:tblHeader/>
        </w:trPr>
        <w:tc>
          <w:tcPr>
            <w:tcW w:w="2518" w:type="dxa"/>
          </w:tcPr>
          <w:p w14:paraId="3B8915CC" w14:textId="77777777" w:rsidR="00A30B31" w:rsidRPr="0042326B" w:rsidRDefault="00A30B31" w:rsidP="007D21D4">
            <w:pPr>
              <w:pStyle w:val="TableHeader"/>
            </w:pPr>
            <w:r w:rsidRPr="0042326B">
              <w:t>EPI</w:t>
            </w:r>
          </w:p>
        </w:tc>
        <w:tc>
          <w:tcPr>
            <w:tcW w:w="6554" w:type="dxa"/>
          </w:tcPr>
          <w:p w14:paraId="1515FB31" w14:textId="77777777" w:rsidR="00A30B31" w:rsidRPr="0042326B" w:rsidRDefault="00A30B31" w:rsidP="007D21D4">
            <w:pPr>
              <w:pStyle w:val="TableHeader"/>
            </w:pPr>
            <w:r w:rsidRPr="0042326B">
              <w:t>Comment</w:t>
            </w:r>
          </w:p>
        </w:tc>
      </w:tr>
      <w:tr w:rsidR="00B81D9B" w:rsidRPr="00F06DBB" w14:paraId="78C8A357" w14:textId="77777777" w:rsidTr="00AE3BB1">
        <w:trPr>
          <w:trHeight w:val="340"/>
        </w:trPr>
        <w:tc>
          <w:tcPr>
            <w:tcW w:w="2518" w:type="dxa"/>
          </w:tcPr>
          <w:p w14:paraId="2EF7430A" w14:textId="48F63492" w:rsidR="00B81D9B" w:rsidRDefault="00B81D9B" w:rsidP="00AE3BB1">
            <w:pPr>
              <w:pStyle w:val="TableBody"/>
            </w:pPr>
            <w:r w:rsidRPr="00B81D9B">
              <w:t>State Environmental Planning Policy (Sydney Drinking Water Catchment) 2011</w:t>
            </w:r>
          </w:p>
        </w:tc>
        <w:tc>
          <w:tcPr>
            <w:tcW w:w="6554" w:type="dxa"/>
          </w:tcPr>
          <w:p w14:paraId="4B072D0E" w14:textId="77777777" w:rsidR="00B81D9B" w:rsidRDefault="00B81D9B" w:rsidP="00AE3BB1">
            <w:pPr>
              <w:pStyle w:val="TableBody"/>
            </w:pPr>
            <w:r>
              <w:t>The objectives of this SEPP include:</w:t>
            </w:r>
          </w:p>
          <w:p w14:paraId="60644733" w14:textId="7539A9C6" w:rsidR="00B81D9B" w:rsidRDefault="00B81D9B" w:rsidP="00B81D9B">
            <w:pPr>
              <w:pStyle w:val="Bullets-TechSpecs"/>
            </w:pPr>
            <w:r w:rsidRPr="00B81D9B">
              <w:t>provid</w:t>
            </w:r>
            <w:r w:rsidR="00AA1524">
              <w:t>ing</w:t>
            </w:r>
            <w:r w:rsidRPr="00B81D9B">
              <w:t xml:space="preserve"> for healthy water catchments that will deliver high quality water while permitting development that is compatible with that goal</w:t>
            </w:r>
          </w:p>
          <w:p w14:paraId="31CD72F1" w14:textId="77777777" w:rsidR="00B81D9B" w:rsidRDefault="00B81D9B" w:rsidP="00B81D9B">
            <w:pPr>
              <w:pStyle w:val="Bullets-TechSpecs"/>
            </w:pPr>
            <w:proofErr w:type="gramStart"/>
            <w:r w:rsidRPr="00B81D9B">
              <w:t>support</w:t>
            </w:r>
            <w:r w:rsidR="00AA1524">
              <w:t>ing</w:t>
            </w:r>
            <w:proofErr w:type="gramEnd"/>
            <w:r w:rsidRPr="00B81D9B">
              <w:t xml:space="preserve"> the maintenance or achievement of the water quality objectives for the Sydney drinking water catchment</w:t>
            </w:r>
            <w:r w:rsidR="00AA1524">
              <w:t>.</w:t>
            </w:r>
          </w:p>
          <w:p w14:paraId="5ED3A75E" w14:textId="523E807D" w:rsidR="00214F62" w:rsidRPr="00F06DBB" w:rsidRDefault="00214F62" w:rsidP="00A27F3C">
            <w:pPr>
              <w:pStyle w:val="TableBody"/>
            </w:pPr>
            <w:r>
              <w:t xml:space="preserve">The </w:t>
            </w:r>
            <w:r w:rsidR="00A27F3C">
              <w:t>Sydney Drinking</w:t>
            </w:r>
            <w:r>
              <w:t xml:space="preserve"> </w:t>
            </w:r>
            <w:r w:rsidR="00A27F3C">
              <w:t>Water Catchment is defined according to the map that accompanies the SEPP, and does not include the Commonwealth land at Badgerys Creek. As such, the SEPP does not have any relevance to the existing management of the land. Future development of the land would need to give appropriate considerations to relevant matters associated with off-site impacts.</w:t>
            </w:r>
          </w:p>
        </w:tc>
      </w:tr>
      <w:tr w:rsidR="00A30B31" w:rsidRPr="00F06DBB" w14:paraId="738343B4" w14:textId="77777777" w:rsidTr="007D21D4">
        <w:trPr>
          <w:trHeight w:val="340"/>
        </w:trPr>
        <w:tc>
          <w:tcPr>
            <w:tcW w:w="2518" w:type="dxa"/>
          </w:tcPr>
          <w:p w14:paraId="7CD11694" w14:textId="74B813D5" w:rsidR="00A30B31" w:rsidRPr="00F06DBB" w:rsidRDefault="00A30B31" w:rsidP="007D21D4">
            <w:pPr>
              <w:pStyle w:val="TableBody"/>
            </w:pPr>
            <w:r w:rsidRPr="00A30B31">
              <w:t>Sydney Regional Environmental Plan (SREP) 20 – Hawkesbury-Nepean River</w:t>
            </w:r>
          </w:p>
        </w:tc>
        <w:tc>
          <w:tcPr>
            <w:tcW w:w="6554" w:type="dxa"/>
          </w:tcPr>
          <w:p w14:paraId="7C5C144A" w14:textId="058A9D9E" w:rsidR="00A30B31" w:rsidRPr="00F06DBB" w:rsidRDefault="00B81D9B" w:rsidP="00214F62">
            <w:pPr>
              <w:pStyle w:val="TableBody"/>
            </w:pPr>
            <w:r>
              <w:t>This is a deemed SEPP under the EP&amp;A Act. It a</w:t>
            </w:r>
            <w:r w:rsidRPr="00B81D9B">
              <w:t>ims to facilitate consideration of environmental values in a regional context with regard to future land use.</w:t>
            </w:r>
            <w:r w:rsidR="00214F62">
              <w:t xml:space="preserve"> The Commonwealth land at Badgerys Creek is located within the Liverpool LGA. Clause 2(1) of the SEPP identifies that the Liverpool LGA is part of the land subject to the SEPP.</w:t>
            </w:r>
          </w:p>
        </w:tc>
      </w:tr>
    </w:tbl>
    <w:p w14:paraId="364AEE21" w14:textId="77777777" w:rsidR="00051D7B" w:rsidRDefault="00051D7B" w:rsidP="004A07E5">
      <w:pPr>
        <w:pStyle w:val="BodyText"/>
      </w:pPr>
    </w:p>
    <w:p w14:paraId="739E4486" w14:textId="36C2A464" w:rsidR="00051D7B" w:rsidRDefault="00051D7B" w:rsidP="005613AC">
      <w:pPr>
        <w:pStyle w:val="Subheading"/>
      </w:pPr>
      <w:r>
        <w:t>Guidelines</w:t>
      </w:r>
    </w:p>
    <w:p w14:paraId="519BEA7F" w14:textId="3C8DE61D" w:rsidR="003B020D" w:rsidRDefault="003B020D" w:rsidP="00051D7B">
      <w:pPr>
        <w:pStyle w:val="BodyText"/>
      </w:pPr>
      <w:r>
        <w:t>NSW</w:t>
      </w:r>
      <w:r w:rsidRPr="003B020D">
        <w:t xml:space="preserve"> guidelines and strategies related to </w:t>
      </w:r>
      <w:r w:rsidRPr="002F0501">
        <w:t>water resource management</w:t>
      </w:r>
      <w:r w:rsidRPr="003B020D">
        <w:t xml:space="preserve"> that are of likely or potential relevance to the study area are listed in the following table with comment provided on the nature of their relevance</w:t>
      </w:r>
      <w:r>
        <w:t>.</w:t>
      </w:r>
    </w:p>
    <w:p w14:paraId="4379FA93" w14:textId="5740F37F" w:rsidR="005431E1" w:rsidRDefault="005431E1" w:rsidP="005431E1">
      <w:pPr>
        <w:pStyle w:val="Caption"/>
        <w:keepNext/>
        <w:ind w:left="1134" w:hanging="1134"/>
      </w:pPr>
      <w:bookmarkStart w:id="69" w:name="_Toc402442847"/>
      <w:proofErr w:type="gramStart"/>
      <w:r>
        <w:t xml:space="preserve">Table </w:t>
      </w:r>
      <w:fldSimple w:instr=" STYLEREF 1 \s ">
        <w:r w:rsidR="004E469D">
          <w:rPr>
            <w:noProof/>
          </w:rPr>
          <w:t>5</w:t>
        </w:r>
      </w:fldSimple>
      <w:r w:rsidR="00EF76BA">
        <w:t>.</w:t>
      </w:r>
      <w:proofErr w:type="gramEnd"/>
      <w:r w:rsidR="001C525C">
        <w:fldChar w:fldCharType="begin"/>
      </w:r>
      <w:r w:rsidR="001C525C">
        <w:instrText xml:space="preserve"> SEQ Table \* ARABIC \s 1 </w:instrText>
      </w:r>
      <w:r w:rsidR="001C525C">
        <w:fldChar w:fldCharType="separate"/>
      </w:r>
      <w:r w:rsidR="004E469D">
        <w:rPr>
          <w:noProof/>
        </w:rPr>
        <w:t>2</w:t>
      </w:r>
      <w:r w:rsidR="001C525C">
        <w:rPr>
          <w:noProof/>
        </w:rPr>
        <w:fldChar w:fldCharType="end"/>
      </w:r>
      <w:r>
        <w:tab/>
        <w:t>NSW guidelines and strategies related to hydrology and water resources</w:t>
      </w:r>
      <w:bookmarkEnd w:id="69"/>
    </w:p>
    <w:tbl>
      <w:tblPr>
        <w:tblStyle w:val="TableGrid"/>
        <w:tblW w:w="9280" w:type="dxa"/>
        <w:tblBorders>
          <w:bottom w:val="single" w:sz="4" w:space="0" w:color="auto"/>
        </w:tblBorders>
        <w:tblLook w:val="04A0" w:firstRow="1" w:lastRow="0" w:firstColumn="1" w:lastColumn="0" w:noHBand="0" w:noVBand="1"/>
        <w:tblCaption w:val="Table 5.2 NSW guidelines and strategies related to hydrology and water resources"/>
        <w:tblDescription w:val="Table 5.2 NSW guidelines and strategies related to hydrology and water resources"/>
      </w:tblPr>
      <w:tblGrid>
        <w:gridCol w:w="2227"/>
        <w:gridCol w:w="1410"/>
        <w:gridCol w:w="5643"/>
      </w:tblGrid>
      <w:tr w:rsidR="00051D7B" w:rsidRPr="007A4848" w14:paraId="2641B001" w14:textId="77777777" w:rsidTr="005241F5">
        <w:trPr>
          <w:trHeight w:val="340"/>
          <w:tblHeader/>
        </w:trPr>
        <w:tc>
          <w:tcPr>
            <w:tcW w:w="2235" w:type="dxa"/>
          </w:tcPr>
          <w:p w14:paraId="7F84D5D0" w14:textId="77777777" w:rsidR="00051D7B" w:rsidRPr="007A4848" w:rsidRDefault="00051D7B" w:rsidP="00342337">
            <w:pPr>
              <w:pStyle w:val="TableHeader"/>
            </w:pPr>
            <w:r w:rsidRPr="007A4848">
              <w:t>Guideline</w:t>
            </w:r>
            <w:r>
              <w:t>/Strategy</w:t>
            </w:r>
          </w:p>
        </w:tc>
        <w:tc>
          <w:tcPr>
            <w:tcW w:w="1275" w:type="dxa"/>
          </w:tcPr>
          <w:p w14:paraId="260B7B62" w14:textId="4767D229" w:rsidR="00051D7B" w:rsidRPr="007A4848" w:rsidRDefault="00051D7B" w:rsidP="00AA1524">
            <w:pPr>
              <w:pStyle w:val="TableHeader"/>
              <w:jc w:val="center"/>
            </w:pPr>
            <w:r w:rsidRPr="007A4848">
              <w:t>Agency</w:t>
            </w:r>
          </w:p>
        </w:tc>
        <w:tc>
          <w:tcPr>
            <w:tcW w:w="5770" w:type="dxa"/>
          </w:tcPr>
          <w:p w14:paraId="21892AF5" w14:textId="77777777" w:rsidR="00051D7B" w:rsidRPr="007A4848" w:rsidRDefault="00051D7B" w:rsidP="00342337">
            <w:pPr>
              <w:pStyle w:val="TableHeader"/>
            </w:pPr>
            <w:r w:rsidRPr="007A4848">
              <w:t>Comment</w:t>
            </w:r>
          </w:p>
        </w:tc>
      </w:tr>
      <w:tr w:rsidR="002F0501" w:rsidRPr="00F06DBB" w14:paraId="61FF6D73" w14:textId="77777777" w:rsidTr="00AE3BB1">
        <w:trPr>
          <w:trHeight w:val="340"/>
        </w:trPr>
        <w:tc>
          <w:tcPr>
            <w:tcW w:w="2235" w:type="dxa"/>
          </w:tcPr>
          <w:p w14:paraId="5D3B4DF0" w14:textId="77777777" w:rsidR="002F0501" w:rsidRDefault="002F0501" w:rsidP="00AE3BB1">
            <w:pPr>
              <w:pStyle w:val="TableBody"/>
            </w:pPr>
            <w:r w:rsidRPr="00176A8A">
              <w:t>Using the ANZECC Guidelines and Water Quality Objectives, Sydney</w:t>
            </w:r>
            <w:r>
              <w:t>, 2006</w:t>
            </w:r>
          </w:p>
        </w:tc>
        <w:tc>
          <w:tcPr>
            <w:tcW w:w="1275" w:type="dxa"/>
          </w:tcPr>
          <w:p w14:paraId="4729D232" w14:textId="77777777" w:rsidR="002F0501" w:rsidRPr="00F06DBB" w:rsidRDefault="002F0501" w:rsidP="00AA1524">
            <w:pPr>
              <w:pStyle w:val="TableBody"/>
              <w:jc w:val="center"/>
            </w:pPr>
            <w:r>
              <w:t>OEH</w:t>
            </w:r>
          </w:p>
        </w:tc>
        <w:tc>
          <w:tcPr>
            <w:tcW w:w="5770" w:type="dxa"/>
          </w:tcPr>
          <w:p w14:paraId="2A71921F" w14:textId="77777777" w:rsidR="002F0501" w:rsidRPr="00F06DBB" w:rsidRDefault="002F0501" w:rsidP="00AE3BB1">
            <w:pPr>
              <w:pStyle w:val="TableBody"/>
            </w:pPr>
            <w:r>
              <w:t>Provides guidance with regard to application of the ANZECC guidelines in the context of meeting NSW Water Quality Objectives (WQO) and protection levels for individual waterways to manage WQ risks and issues.</w:t>
            </w:r>
          </w:p>
        </w:tc>
      </w:tr>
      <w:tr w:rsidR="002F0501" w:rsidRPr="00F06DBB" w14:paraId="50909476" w14:textId="77777777" w:rsidTr="00AE3BB1">
        <w:trPr>
          <w:trHeight w:val="340"/>
        </w:trPr>
        <w:tc>
          <w:tcPr>
            <w:tcW w:w="2235" w:type="dxa"/>
          </w:tcPr>
          <w:p w14:paraId="2B56A2EE" w14:textId="1F88DDBA" w:rsidR="002F0501" w:rsidRDefault="00AA1524" w:rsidP="00AA1524">
            <w:pPr>
              <w:pStyle w:val="TableBody"/>
            </w:pPr>
            <w:r w:rsidRPr="00AA1524">
              <w:t xml:space="preserve">Managing Urban Stormwater–Soils and Construction, </w:t>
            </w:r>
            <w:proofErr w:type="spellStart"/>
            <w:r w:rsidRPr="00AA1524">
              <w:t>Vo</w:t>
            </w:r>
            <w:r>
              <w:t>l</w:t>
            </w:r>
            <w:proofErr w:type="spellEnd"/>
            <w:r w:rsidRPr="00AA1524">
              <w:t xml:space="preserve"> 1 Managing Urban Stormwater</w:t>
            </w:r>
            <w:r w:rsidR="00AE3BB1">
              <w:t>, 2004</w:t>
            </w:r>
          </w:p>
        </w:tc>
        <w:tc>
          <w:tcPr>
            <w:tcW w:w="1275" w:type="dxa"/>
          </w:tcPr>
          <w:p w14:paraId="35B54C65" w14:textId="1614EB8D" w:rsidR="002F0501" w:rsidRPr="00F06DBB" w:rsidRDefault="00AA1524" w:rsidP="00AA1524">
            <w:pPr>
              <w:pStyle w:val="TableBody"/>
              <w:jc w:val="center"/>
            </w:pPr>
            <w:r>
              <w:t>OEH</w:t>
            </w:r>
          </w:p>
        </w:tc>
        <w:tc>
          <w:tcPr>
            <w:tcW w:w="5770" w:type="dxa"/>
          </w:tcPr>
          <w:p w14:paraId="72215EAE" w14:textId="7094E010" w:rsidR="002F0501" w:rsidRDefault="00AA1524" w:rsidP="00AE3BB1">
            <w:pPr>
              <w:pStyle w:val="TableBody"/>
            </w:pPr>
            <w:r>
              <w:t xml:space="preserve">Provides </w:t>
            </w:r>
            <w:r w:rsidRPr="00AA1524">
              <w:t>guidance for local councils and practitioners on the design, construction and implementation of measures to improve stormwater management, primarily erosion and sediment control, during the constructi</w:t>
            </w:r>
            <w:r>
              <w:t>on-phase of urban development.</w:t>
            </w:r>
          </w:p>
          <w:p w14:paraId="0740808F" w14:textId="5518D022" w:rsidR="00AA1524" w:rsidRPr="00F06DBB" w:rsidRDefault="00AA1524" w:rsidP="00AE3BB1">
            <w:pPr>
              <w:pStyle w:val="TableBody"/>
            </w:pPr>
            <w:r>
              <w:t>Colloquially known as ‘The Blue Book’.</w:t>
            </w:r>
          </w:p>
        </w:tc>
      </w:tr>
      <w:tr w:rsidR="00AA1524" w:rsidRPr="00F06DBB" w14:paraId="48246088" w14:textId="77777777" w:rsidTr="00AE3BB1">
        <w:trPr>
          <w:trHeight w:val="340"/>
        </w:trPr>
        <w:tc>
          <w:tcPr>
            <w:tcW w:w="2235" w:type="dxa"/>
          </w:tcPr>
          <w:p w14:paraId="7753663B" w14:textId="30507D9E" w:rsidR="00AA1524" w:rsidRPr="00AA1524" w:rsidRDefault="00AA1524" w:rsidP="00AA1524">
            <w:pPr>
              <w:pStyle w:val="TableBody"/>
            </w:pPr>
            <w:r w:rsidRPr="00AA1524">
              <w:t xml:space="preserve">Managing Urban Stormwater–Soils and Construction, </w:t>
            </w:r>
            <w:proofErr w:type="spellStart"/>
            <w:r w:rsidRPr="00AA1524">
              <w:t>Vol</w:t>
            </w:r>
            <w:proofErr w:type="spellEnd"/>
            <w:r>
              <w:t xml:space="preserve"> 2D Main Road Construction</w:t>
            </w:r>
            <w:r w:rsidR="00AE3BB1">
              <w:t>, 2008</w:t>
            </w:r>
          </w:p>
        </w:tc>
        <w:tc>
          <w:tcPr>
            <w:tcW w:w="1275" w:type="dxa"/>
          </w:tcPr>
          <w:p w14:paraId="5585EF73" w14:textId="7659E7DF" w:rsidR="00AA1524" w:rsidRDefault="00AA1524" w:rsidP="00AA1524">
            <w:pPr>
              <w:pStyle w:val="TableBody"/>
              <w:jc w:val="center"/>
            </w:pPr>
            <w:r>
              <w:t>OEH</w:t>
            </w:r>
          </w:p>
        </w:tc>
        <w:tc>
          <w:tcPr>
            <w:tcW w:w="5770" w:type="dxa"/>
          </w:tcPr>
          <w:p w14:paraId="0E3FFEF3" w14:textId="1A64BCE0" w:rsidR="00AA1524" w:rsidRDefault="00AA1524" w:rsidP="00AA1524">
            <w:pPr>
              <w:pStyle w:val="TableBody"/>
            </w:pPr>
            <w:r>
              <w:t>P</w:t>
            </w:r>
            <w:r w:rsidRPr="00AA1524">
              <w:t>rovides guid</w:t>
            </w:r>
            <w:r>
              <w:t>ance</w:t>
            </w:r>
            <w:r w:rsidRPr="00AA1524">
              <w:t xml:space="preserve">, principles and recommended minimum design standards for </w:t>
            </w:r>
            <w:r>
              <w:t xml:space="preserve">effective </w:t>
            </w:r>
            <w:r w:rsidRPr="00AA1524">
              <w:t>manag</w:t>
            </w:r>
            <w:r>
              <w:t>ement of</w:t>
            </w:r>
            <w:r w:rsidRPr="00AA1524">
              <w:t xml:space="preserve"> erosion and sediment control during the construction of main roads</w:t>
            </w:r>
            <w:r>
              <w:t xml:space="preserve"> (which</w:t>
            </w:r>
            <w:r w:rsidRPr="00AA1524">
              <w:t xml:space="preserve"> commonly involves extensive earthworks</w:t>
            </w:r>
            <w:r>
              <w:t>).</w:t>
            </w:r>
          </w:p>
        </w:tc>
      </w:tr>
      <w:tr w:rsidR="00AE3BB1" w:rsidRPr="00F06DBB" w14:paraId="0858819A" w14:textId="77777777" w:rsidTr="00AE3BB1">
        <w:trPr>
          <w:trHeight w:val="340"/>
        </w:trPr>
        <w:tc>
          <w:tcPr>
            <w:tcW w:w="2235" w:type="dxa"/>
          </w:tcPr>
          <w:p w14:paraId="043E7F50" w14:textId="0002FB4E" w:rsidR="00AE3BB1" w:rsidRPr="00AA1524" w:rsidRDefault="00AE3BB1" w:rsidP="00AE3BB1">
            <w:pPr>
              <w:pStyle w:val="TableBody"/>
            </w:pPr>
            <w:r>
              <w:t xml:space="preserve">Acid </w:t>
            </w:r>
            <w:proofErr w:type="spellStart"/>
            <w:r>
              <w:t>Sulfate</w:t>
            </w:r>
            <w:proofErr w:type="spellEnd"/>
            <w:r>
              <w:t xml:space="preserve"> Soils Manual, 1998</w:t>
            </w:r>
          </w:p>
        </w:tc>
        <w:tc>
          <w:tcPr>
            <w:tcW w:w="1275" w:type="dxa"/>
          </w:tcPr>
          <w:p w14:paraId="6CA6CBBE" w14:textId="39B46217" w:rsidR="00AE3BB1" w:rsidRDefault="00AE3BB1" w:rsidP="00AA1524">
            <w:pPr>
              <w:pStyle w:val="TableBody"/>
              <w:jc w:val="center"/>
            </w:pPr>
            <w:r>
              <w:t>DPI</w:t>
            </w:r>
            <w:r>
              <w:br/>
              <w:t>(Agriculture)</w:t>
            </w:r>
          </w:p>
        </w:tc>
        <w:tc>
          <w:tcPr>
            <w:tcW w:w="5770" w:type="dxa"/>
          </w:tcPr>
          <w:p w14:paraId="55E33441" w14:textId="010AB3CF" w:rsidR="00AE3BB1" w:rsidRDefault="00AE3BB1" w:rsidP="00AA1524">
            <w:pPr>
              <w:pStyle w:val="TableBody"/>
            </w:pPr>
            <w:r>
              <w:t xml:space="preserve">Comprises the </w:t>
            </w:r>
            <w:r w:rsidRPr="00AE3BB1">
              <w:rPr>
                <w:i/>
              </w:rPr>
              <w:t xml:space="preserve">Acid </w:t>
            </w:r>
            <w:proofErr w:type="spellStart"/>
            <w:r w:rsidRPr="00AE3BB1">
              <w:rPr>
                <w:i/>
              </w:rPr>
              <w:t>Sulfate</w:t>
            </w:r>
            <w:proofErr w:type="spellEnd"/>
            <w:r w:rsidRPr="00AE3BB1">
              <w:rPr>
                <w:i/>
              </w:rPr>
              <w:t xml:space="preserve"> Soils Assessment Guidelines</w:t>
            </w:r>
            <w:r>
              <w:t xml:space="preserve"> and the </w:t>
            </w:r>
            <w:r w:rsidRPr="00AE3BB1">
              <w:rPr>
                <w:i/>
              </w:rPr>
              <w:t xml:space="preserve">Acid </w:t>
            </w:r>
            <w:proofErr w:type="spellStart"/>
            <w:r w:rsidRPr="00AE3BB1">
              <w:rPr>
                <w:i/>
              </w:rPr>
              <w:t>Sulfate</w:t>
            </w:r>
            <w:proofErr w:type="spellEnd"/>
            <w:r w:rsidRPr="00AE3BB1">
              <w:rPr>
                <w:i/>
              </w:rPr>
              <w:t xml:space="preserve"> Soils Planning Guidelines</w:t>
            </w:r>
            <w:r>
              <w:t xml:space="preserve">. Aims to provide guidance for effective management of risk associated with development in areas containing acid </w:t>
            </w:r>
            <w:proofErr w:type="spellStart"/>
            <w:r>
              <w:t>sulfate</w:t>
            </w:r>
            <w:proofErr w:type="spellEnd"/>
            <w:r>
              <w:t xml:space="preserve"> soils (ASS).</w:t>
            </w:r>
          </w:p>
        </w:tc>
      </w:tr>
      <w:tr w:rsidR="00051D7B" w:rsidRPr="00F06DBB" w14:paraId="54BF2675" w14:textId="77777777" w:rsidTr="005431E1">
        <w:trPr>
          <w:trHeight w:val="340"/>
        </w:trPr>
        <w:tc>
          <w:tcPr>
            <w:tcW w:w="2235" w:type="dxa"/>
          </w:tcPr>
          <w:p w14:paraId="4109D647" w14:textId="6E8AC004" w:rsidR="00051D7B" w:rsidRPr="00F06DBB" w:rsidRDefault="00A30B31" w:rsidP="00342337">
            <w:pPr>
              <w:pStyle w:val="TableBody"/>
            </w:pPr>
            <w:r>
              <w:t xml:space="preserve">NSW </w:t>
            </w:r>
            <w:r w:rsidRPr="00A30B31">
              <w:t>Floodplain Development Manual</w:t>
            </w:r>
            <w:r w:rsidR="00176A8A">
              <w:t>,</w:t>
            </w:r>
            <w:r w:rsidRPr="00A30B31">
              <w:t xml:space="preserve"> 2005</w:t>
            </w:r>
          </w:p>
        </w:tc>
        <w:tc>
          <w:tcPr>
            <w:tcW w:w="1275" w:type="dxa"/>
          </w:tcPr>
          <w:p w14:paraId="316E394F" w14:textId="6283E0E1" w:rsidR="00051D7B" w:rsidRPr="00F06DBB" w:rsidRDefault="00D87FC8" w:rsidP="00AA1524">
            <w:pPr>
              <w:pStyle w:val="TableBody"/>
              <w:jc w:val="center"/>
            </w:pPr>
            <w:r>
              <w:t>OEH</w:t>
            </w:r>
          </w:p>
        </w:tc>
        <w:tc>
          <w:tcPr>
            <w:tcW w:w="5770" w:type="dxa"/>
          </w:tcPr>
          <w:p w14:paraId="6C996B88" w14:textId="75B533C4" w:rsidR="00051D7B" w:rsidRPr="00F06DBB" w:rsidRDefault="00176A8A" w:rsidP="00A71FFD">
            <w:pPr>
              <w:pStyle w:val="TableBody"/>
            </w:pPr>
            <w:r>
              <w:t>Provides guidance</w:t>
            </w:r>
            <w:r w:rsidR="00A71FFD">
              <w:t xml:space="preserve"> to local councils</w:t>
            </w:r>
            <w:r>
              <w:t xml:space="preserve"> in relation to </w:t>
            </w:r>
            <w:r w:rsidR="00A71FFD">
              <w:t>balancing objectives for development on floodplains through a risk management process.</w:t>
            </w:r>
          </w:p>
        </w:tc>
      </w:tr>
    </w:tbl>
    <w:p w14:paraId="50CC8A98" w14:textId="77777777" w:rsidR="00382766" w:rsidRDefault="00382766" w:rsidP="00382766">
      <w:pPr>
        <w:pStyle w:val="Heading2"/>
      </w:pPr>
      <w:bookmarkStart w:id="70" w:name="_Toc400720092"/>
      <w:r>
        <w:t>Survey methodology</w:t>
      </w:r>
      <w:bookmarkEnd w:id="70"/>
    </w:p>
    <w:p w14:paraId="24A0F1F0" w14:textId="1882849F" w:rsidR="00923203" w:rsidRDefault="002D272D" w:rsidP="00923203">
      <w:pPr>
        <w:pStyle w:val="BodyText"/>
        <w:ind w:left="-142"/>
      </w:pPr>
      <w:bookmarkStart w:id="71" w:name="_Ref400548716"/>
      <w:r>
        <w:t>Due to time constraints, the current round of f</w:t>
      </w:r>
      <w:r w:rsidR="0087175C">
        <w:t xml:space="preserve">ield investigations </w:t>
      </w:r>
      <w:r>
        <w:t xml:space="preserve">related to water resources was </w:t>
      </w:r>
      <w:r w:rsidR="0087175C">
        <w:t>limited to water quality sampling. Previous s</w:t>
      </w:r>
      <w:r w:rsidR="0087175C" w:rsidRPr="00A03D4F">
        <w:t xml:space="preserve">ampling and analysis of surface water from </w:t>
      </w:r>
      <w:r w:rsidR="0087175C">
        <w:t xml:space="preserve">local </w:t>
      </w:r>
      <w:r w:rsidR="0087175C" w:rsidRPr="00A03D4F">
        <w:t xml:space="preserve">creeks was undertaken in </w:t>
      </w:r>
      <w:r w:rsidR="0087175C">
        <w:t>1996</w:t>
      </w:r>
      <w:r w:rsidR="0087175C" w:rsidRPr="00A03D4F">
        <w:t xml:space="preserve">, </w:t>
      </w:r>
      <w:r w:rsidR="0087175C">
        <w:t>199</w:t>
      </w:r>
      <w:r w:rsidR="0087175C" w:rsidRPr="00A03D4F">
        <w:t xml:space="preserve">7 and three times in </w:t>
      </w:r>
      <w:r w:rsidR="0087175C">
        <w:t>199</w:t>
      </w:r>
      <w:r w:rsidR="0087175C" w:rsidRPr="00A03D4F">
        <w:t>8</w:t>
      </w:r>
      <w:r>
        <w:t>, and was limited to single sampling events</w:t>
      </w:r>
      <w:r w:rsidR="0087175C" w:rsidRPr="00A03D4F">
        <w:t xml:space="preserve">. Table 5.1 </w:t>
      </w:r>
      <w:r w:rsidR="0087175C">
        <w:t>provides a consolidated summary of the locations and timing of sampling</w:t>
      </w:r>
      <w:r w:rsidR="004919F6">
        <w:t>, and identifies the locations sampled for the current investigation</w:t>
      </w:r>
      <w:r w:rsidR="0087175C">
        <w:t xml:space="preserve">. </w:t>
      </w:r>
      <w:r w:rsidR="00923203">
        <w:t>The sampling locations are shown in Figure 5.1.</w:t>
      </w:r>
    </w:p>
    <w:p w14:paraId="3E9267B7" w14:textId="1E4AC458" w:rsidR="0087175C" w:rsidRDefault="0087175C" w:rsidP="0087175C">
      <w:pPr>
        <w:pStyle w:val="Caption"/>
        <w:keepNext/>
        <w:ind w:left="1134" w:hanging="1134"/>
      </w:pPr>
      <w:bookmarkStart w:id="72" w:name="_Toc402442848"/>
      <w:proofErr w:type="gramStart"/>
      <w:r>
        <w:t xml:space="preserve">Table </w:t>
      </w:r>
      <w:fldSimple w:instr=" STYLEREF 1 \s ">
        <w:r w:rsidR="004E469D">
          <w:rPr>
            <w:noProof/>
          </w:rPr>
          <w:t>5</w:t>
        </w:r>
      </w:fldSimple>
      <w:r w:rsidR="00EF76BA">
        <w:t>.</w:t>
      </w:r>
      <w:proofErr w:type="gramEnd"/>
      <w:r w:rsidR="001C525C">
        <w:fldChar w:fldCharType="begin"/>
      </w:r>
      <w:r w:rsidR="001C525C">
        <w:instrText xml:space="preserve"> SEQ Table \* ARABIC \s 1 </w:instrText>
      </w:r>
      <w:r w:rsidR="001C525C">
        <w:fldChar w:fldCharType="separate"/>
      </w:r>
      <w:r w:rsidR="004E469D">
        <w:rPr>
          <w:noProof/>
        </w:rPr>
        <w:t>3</w:t>
      </w:r>
      <w:r w:rsidR="001C525C">
        <w:rPr>
          <w:noProof/>
        </w:rPr>
        <w:fldChar w:fldCharType="end"/>
      </w:r>
      <w:r>
        <w:tab/>
      </w:r>
      <w:r w:rsidR="004919F6">
        <w:t>W</w:t>
      </w:r>
      <w:r>
        <w:t>ater quality sampling</w:t>
      </w:r>
      <w:bookmarkEnd w:id="72"/>
      <w:r w:rsidR="004919F6">
        <w:t xml:space="preserve"> locations</w:t>
      </w:r>
    </w:p>
    <w:tbl>
      <w:tblPr>
        <w:tblStyle w:val="TableGrid"/>
        <w:tblW w:w="9180" w:type="dxa"/>
        <w:tblBorders>
          <w:bottom w:val="single" w:sz="4" w:space="0" w:color="auto"/>
        </w:tblBorders>
        <w:tblLook w:val="04A0" w:firstRow="1" w:lastRow="0" w:firstColumn="1" w:lastColumn="0" w:noHBand="0" w:noVBand="1"/>
        <w:tblCaption w:val="Table 5.3 Water quality sampling locations"/>
        <w:tblDescription w:val="Table 5.3 Water quality sampling locations"/>
      </w:tblPr>
      <w:tblGrid>
        <w:gridCol w:w="2333"/>
        <w:gridCol w:w="1161"/>
        <w:gridCol w:w="1162"/>
        <w:gridCol w:w="1162"/>
        <w:gridCol w:w="1162"/>
        <w:gridCol w:w="1162"/>
        <w:gridCol w:w="1038"/>
      </w:tblGrid>
      <w:tr w:rsidR="004919F6" w:rsidRPr="007A4848" w14:paraId="1ADF57A9" w14:textId="56BC335F" w:rsidTr="005241F5">
        <w:trPr>
          <w:trHeight w:val="340"/>
          <w:tblHeader/>
        </w:trPr>
        <w:tc>
          <w:tcPr>
            <w:tcW w:w="2333" w:type="dxa"/>
            <w:tcBorders>
              <w:top w:val="single" w:sz="4" w:space="0" w:color="000000"/>
              <w:bottom w:val="single" w:sz="4" w:space="0" w:color="000000"/>
              <w:right w:val="single" w:sz="4" w:space="0" w:color="000000"/>
            </w:tcBorders>
            <w:vAlign w:val="center"/>
          </w:tcPr>
          <w:p w14:paraId="172A2B88" w14:textId="73ED3302" w:rsidR="004919F6" w:rsidRPr="007A4848" w:rsidRDefault="005241F5" w:rsidP="004F79B1">
            <w:pPr>
              <w:pStyle w:val="TableHeader"/>
            </w:pPr>
            <w:r>
              <w:t>Location</w:t>
            </w:r>
          </w:p>
        </w:tc>
        <w:tc>
          <w:tcPr>
            <w:tcW w:w="1161" w:type="dxa"/>
            <w:tcBorders>
              <w:top w:val="nil"/>
              <w:left w:val="single" w:sz="4" w:space="0" w:color="000000"/>
              <w:bottom w:val="single" w:sz="4" w:space="0" w:color="000000"/>
              <w:right w:val="nil"/>
            </w:tcBorders>
            <w:vAlign w:val="center"/>
          </w:tcPr>
          <w:p w14:paraId="47D4C39E" w14:textId="77777777" w:rsidR="004919F6" w:rsidRPr="007A4848" w:rsidRDefault="004919F6" w:rsidP="004F79B1">
            <w:pPr>
              <w:pStyle w:val="TableHeader"/>
              <w:jc w:val="center"/>
            </w:pPr>
            <w:r>
              <w:t>Dec 1996</w:t>
            </w:r>
          </w:p>
        </w:tc>
        <w:tc>
          <w:tcPr>
            <w:tcW w:w="1162" w:type="dxa"/>
            <w:tcBorders>
              <w:top w:val="nil"/>
              <w:left w:val="nil"/>
              <w:bottom w:val="single" w:sz="4" w:space="0" w:color="000000"/>
              <w:right w:val="nil"/>
            </w:tcBorders>
            <w:vAlign w:val="center"/>
          </w:tcPr>
          <w:p w14:paraId="48615B9D" w14:textId="77777777" w:rsidR="004919F6" w:rsidRPr="007A4848" w:rsidRDefault="004919F6" w:rsidP="004F79B1">
            <w:pPr>
              <w:pStyle w:val="TableHeader"/>
              <w:jc w:val="center"/>
            </w:pPr>
            <w:r>
              <w:t>1997</w:t>
            </w:r>
          </w:p>
        </w:tc>
        <w:tc>
          <w:tcPr>
            <w:tcW w:w="1162" w:type="dxa"/>
            <w:tcBorders>
              <w:top w:val="nil"/>
              <w:left w:val="nil"/>
              <w:bottom w:val="single" w:sz="4" w:space="0" w:color="000000"/>
              <w:right w:val="nil"/>
            </w:tcBorders>
            <w:vAlign w:val="center"/>
          </w:tcPr>
          <w:p w14:paraId="5A04805B" w14:textId="77777777" w:rsidR="004919F6" w:rsidRDefault="004919F6" w:rsidP="004F79B1">
            <w:pPr>
              <w:pStyle w:val="TableHeader"/>
              <w:jc w:val="center"/>
            </w:pPr>
            <w:r>
              <w:t>Sep 1998</w:t>
            </w:r>
          </w:p>
        </w:tc>
        <w:tc>
          <w:tcPr>
            <w:tcW w:w="1162" w:type="dxa"/>
            <w:tcBorders>
              <w:top w:val="nil"/>
              <w:left w:val="nil"/>
              <w:bottom w:val="single" w:sz="4" w:space="0" w:color="000000"/>
              <w:right w:val="nil"/>
            </w:tcBorders>
            <w:vAlign w:val="center"/>
          </w:tcPr>
          <w:p w14:paraId="79BD1998" w14:textId="77777777" w:rsidR="004919F6" w:rsidRDefault="004919F6" w:rsidP="004F79B1">
            <w:pPr>
              <w:pStyle w:val="TableHeader"/>
              <w:jc w:val="center"/>
            </w:pPr>
            <w:r>
              <w:t>Oct 1998</w:t>
            </w:r>
          </w:p>
        </w:tc>
        <w:tc>
          <w:tcPr>
            <w:tcW w:w="1162" w:type="dxa"/>
            <w:tcBorders>
              <w:top w:val="nil"/>
              <w:left w:val="nil"/>
              <w:bottom w:val="single" w:sz="4" w:space="0" w:color="000000"/>
            </w:tcBorders>
            <w:vAlign w:val="center"/>
          </w:tcPr>
          <w:p w14:paraId="668BC3B1" w14:textId="77777777" w:rsidR="004919F6" w:rsidRDefault="004919F6" w:rsidP="004F79B1">
            <w:pPr>
              <w:pStyle w:val="TableHeader"/>
              <w:jc w:val="center"/>
            </w:pPr>
            <w:r>
              <w:t>Dec 1998</w:t>
            </w:r>
          </w:p>
        </w:tc>
        <w:tc>
          <w:tcPr>
            <w:tcW w:w="1038" w:type="dxa"/>
            <w:tcBorders>
              <w:top w:val="nil"/>
              <w:left w:val="nil"/>
              <w:bottom w:val="single" w:sz="4" w:space="0" w:color="000000"/>
            </w:tcBorders>
          </w:tcPr>
          <w:p w14:paraId="0D0B9C15" w14:textId="3957AD46" w:rsidR="004919F6" w:rsidRDefault="004919F6" w:rsidP="004919F6">
            <w:pPr>
              <w:pStyle w:val="TableHeader"/>
              <w:ind w:left="48" w:right="-8"/>
              <w:jc w:val="center"/>
            </w:pPr>
            <w:r>
              <w:t>Sep 2014</w:t>
            </w:r>
          </w:p>
        </w:tc>
      </w:tr>
      <w:tr w:rsidR="004919F6" w:rsidRPr="00F06DBB" w14:paraId="752041BF" w14:textId="116F7992" w:rsidTr="004919F6">
        <w:trPr>
          <w:trHeight w:val="340"/>
        </w:trPr>
        <w:tc>
          <w:tcPr>
            <w:tcW w:w="2333" w:type="dxa"/>
            <w:tcBorders>
              <w:top w:val="single" w:sz="4" w:space="0" w:color="000000"/>
            </w:tcBorders>
          </w:tcPr>
          <w:p w14:paraId="0532B9A0" w14:textId="77777777" w:rsidR="004919F6" w:rsidRDefault="004919F6" w:rsidP="004F79B1">
            <w:pPr>
              <w:pStyle w:val="TableBody"/>
            </w:pPr>
            <w:r>
              <w:t>South Creek (S1)</w:t>
            </w:r>
          </w:p>
        </w:tc>
        <w:tc>
          <w:tcPr>
            <w:tcW w:w="1161" w:type="dxa"/>
            <w:tcBorders>
              <w:top w:val="single" w:sz="4" w:space="0" w:color="000000"/>
              <w:bottom w:val="single" w:sz="4" w:space="0" w:color="000000"/>
            </w:tcBorders>
          </w:tcPr>
          <w:p w14:paraId="0607F0B1" w14:textId="77777777" w:rsidR="004919F6" w:rsidRPr="00F06DBB" w:rsidRDefault="004919F6" w:rsidP="004F79B1">
            <w:pPr>
              <w:pStyle w:val="TableBody"/>
              <w:jc w:val="center"/>
            </w:pPr>
          </w:p>
        </w:tc>
        <w:tc>
          <w:tcPr>
            <w:tcW w:w="1162" w:type="dxa"/>
            <w:tcBorders>
              <w:top w:val="single" w:sz="4" w:space="0" w:color="000000"/>
              <w:bottom w:val="single" w:sz="4" w:space="0" w:color="000000"/>
            </w:tcBorders>
          </w:tcPr>
          <w:p w14:paraId="79A9674D" w14:textId="77777777" w:rsidR="004919F6" w:rsidRPr="00F06DBB" w:rsidRDefault="004919F6" w:rsidP="004F79B1">
            <w:pPr>
              <w:pStyle w:val="TableBody"/>
              <w:jc w:val="center"/>
            </w:pPr>
          </w:p>
        </w:tc>
        <w:tc>
          <w:tcPr>
            <w:tcW w:w="1162" w:type="dxa"/>
            <w:tcBorders>
              <w:top w:val="single" w:sz="4" w:space="0" w:color="000000"/>
              <w:bottom w:val="single" w:sz="4" w:space="0" w:color="000000"/>
            </w:tcBorders>
          </w:tcPr>
          <w:p w14:paraId="72ECED3B" w14:textId="77777777" w:rsidR="004919F6" w:rsidRPr="00F06DBB" w:rsidRDefault="004919F6" w:rsidP="004F79B1">
            <w:pPr>
              <w:pStyle w:val="TableBody"/>
              <w:jc w:val="center"/>
            </w:pPr>
            <w:r>
              <w:sym w:font="Wingdings" w:char="F0FC"/>
            </w:r>
          </w:p>
        </w:tc>
        <w:tc>
          <w:tcPr>
            <w:tcW w:w="1162" w:type="dxa"/>
            <w:tcBorders>
              <w:top w:val="single" w:sz="4" w:space="0" w:color="000000"/>
              <w:bottom w:val="single" w:sz="4" w:space="0" w:color="000000"/>
            </w:tcBorders>
          </w:tcPr>
          <w:p w14:paraId="0655DECF" w14:textId="77777777" w:rsidR="004919F6" w:rsidRPr="00F06DBB" w:rsidRDefault="004919F6" w:rsidP="004F79B1">
            <w:pPr>
              <w:pStyle w:val="TableBody"/>
              <w:jc w:val="center"/>
            </w:pPr>
            <w:r>
              <w:sym w:font="Wingdings" w:char="F0FC"/>
            </w:r>
          </w:p>
        </w:tc>
        <w:tc>
          <w:tcPr>
            <w:tcW w:w="1162" w:type="dxa"/>
            <w:tcBorders>
              <w:top w:val="single" w:sz="4" w:space="0" w:color="000000"/>
              <w:bottom w:val="single" w:sz="4" w:space="0" w:color="000000"/>
            </w:tcBorders>
          </w:tcPr>
          <w:p w14:paraId="27514DBE" w14:textId="77777777" w:rsidR="004919F6" w:rsidRPr="00F06DBB" w:rsidRDefault="004919F6" w:rsidP="004F79B1">
            <w:pPr>
              <w:pStyle w:val="TableBody"/>
              <w:jc w:val="center"/>
            </w:pPr>
            <w:r>
              <w:sym w:font="Wingdings" w:char="F0FC"/>
            </w:r>
          </w:p>
        </w:tc>
        <w:tc>
          <w:tcPr>
            <w:tcW w:w="1038" w:type="dxa"/>
            <w:tcBorders>
              <w:top w:val="single" w:sz="4" w:space="0" w:color="000000"/>
              <w:bottom w:val="single" w:sz="4" w:space="0" w:color="000000"/>
            </w:tcBorders>
          </w:tcPr>
          <w:p w14:paraId="7C978265" w14:textId="77777777" w:rsidR="004919F6" w:rsidRDefault="004919F6" w:rsidP="004F79B1">
            <w:pPr>
              <w:pStyle w:val="TableBody"/>
              <w:jc w:val="center"/>
            </w:pPr>
          </w:p>
        </w:tc>
      </w:tr>
      <w:tr w:rsidR="004919F6" w:rsidRPr="00F06DBB" w14:paraId="7BFA4F7A" w14:textId="5B724AE9" w:rsidTr="004919F6">
        <w:trPr>
          <w:trHeight w:val="340"/>
        </w:trPr>
        <w:tc>
          <w:tcPr>
            <w:tcW w:w="2333" w:type="dxa"/>
          </w:tcPr>
          <w:p w14:paraId="7187206A" w14:textId="77777777" w:rsidR="004919F6" w:rsidRDefault="004919F6" w:rsidP="004F79B1">
            <w:pPr>
              <w:pStyle w:val="TableBody"/>
            </w:pPr>
            <w:r>
              <w:t>South Creek (S2)</w:t>
            </w:r>
          </w:p>
        </w:tc>
        <w:tc>
          <w:tcPr>
            <w:tcW w:w="1161" w:type="dxa"/>
            <w:tcBorders>
              <w:top w:val="single" w:sz="4" w:space="0" w:color="000000"/>
              <w:bottom w:val="single" w:sz="4" w:space="0" w:color="000000"/>
            </w:tcBorders>
          </w:tcPr>
          <w:p w14:paraId="67F36F3A" w14:textId="77777777" w:rsidR="004919F6" w:rsidRPr="00F06DBB" w:rsidRDefault="004919F6" w:rsidP="004F79B1">
            <w:pPr>
              <w:pStyle w:val="TableBody"/>
              <w:jc w:val="center"/>
            </w:pPr>
          </w:p>
        </w:tc>
        <w:tc>
          <w:tcPr>
            <w:tcW w:w="1162" w:type="dxa"/>
            <w:tcBorders>
              <w:top w:val="single" w:sz="4" w:space="0" w:color="000000"/>
              <w:bottom w:val="single" w:sz="4" w:space="0" w:color="000000"/>
            </w:tcBorders>
          </w:tcPr>
          <w:p w14:paraId="00FEF37E" w14:textId="77777777" w:rsidR="004919F6" w:rsidRPr="00F06DBB" w:rsidRDefault="004919F6" w:rsidP="004F79B1">
            <w:pPr>
              <w:pStyle w:val="TableBody"/>
              <w:jc w:val="center"/>
            </w:pPr>
          </w:p>
        </w:tc>
        <w:tc>
          <w:tcPr>
            <w:tcW w:w="1162" w:type="dxa"/>
            <w:tcBorders>
              <w:top w:val="single" w:sz="4" w:space="0" w:color="000000"/>
              <w:bottom w:val="single" w:sz="4" w:space="0" w:color="000000"/>
            </w:tcBorders>
          </w:tcPr>
          <w:p w14:paraId="4FCFE012" w14:textId="77777777" w:rsidR="004919F6" w:rsidRPr="00F06DBB" w:rsidRDefault="004919F6" w:rsidP="004F79B1">
            <w:pPr>
              <w:pStyle w:val="TableBody"/>
              <w:jc w:val="center"/>
            </w:pPr>
            <w:r>
              <w:sym w:font="Wingdings" w:char="F0FC"/>
            </w:r>
          </w:p>
        </w:tc>
        <w:tc>
          <w:tcPr>
            <w:tcW w:w="1162" w:type="dxa"/>
            <w:tcBorders>
              <w:top w:val="single" w:sz="4" w:space="0" w:color="000000"/>
              <w:bottom w:val="single" w:sz="4" w:space="0" w:color="000000"/>
            </w:tcBorders>
          </w:tcPr>
          <w:p w14:paraId="74D3EE53" w14:textId="77777777" w:rsidR="004919F6" w:rsidRPr="00F06DBB" w:rsidRDefault="004919F6" w:rsidP="004F79B1">
            <w:pPr>
              <w:pStyle w:val="TableBody"/>
              <w:jc w:val="center"/>
            </w:pPr>
            <w:r>
              <w:sym w:font="Wingdings" w:char="F0FC"/>
            </w:r>
          </w:p>
        </w:tc>
        <w:tc>
          <w:tcPr>
            <w:tcW w:w="1162" w:type="dxa"/>
            <w:tcBorders>
              <w:top w:val="single" w:sz="4" w:space="0" w:color="000000"/>
              <w:bottom w:val="single" w:sz="4" w:space="0" w:color="000000"/>
            </w:tcBorders>
          </w:tcPr>
          <w:p w14:paraId="016ADF04" w14:textId="77777777" w:rsidR="004919F6" w:rsidRPr="00F06DBB" w:rsidRDefault="004919F6" w:rsidP="004F79B1">
            <w:pPr>
              <w:pStyle w:val="TableBody"/>
              <w:jc w:val="center"/>
            </w:pPr>
            <w:r>
              <w:sym w:font="Wingdings" w:char="F0FC"/>
            </w:r>
          </w:p>
        </w:tc>
        <w:tc>
          <w:tcPr>
            <w:tcW w:w="1038" w:type="dxa"/>
            <w:tcBorders>
              <w:top w:val="single" w:sz="4" w:space="0" w:color="000000"/>
              <w:bottom w:val="single" w:sz="4" w:space="0" w:color="000000"/>
            </w:tcBorders>
          </w:tcPr>
          <w:p w14:paraId="4AB0ADFA" w14:textId="77777777" w:rsidR="004919F6" w:rsidRDefault="004919F6" w:rsidP="004F79B1">
            <w:pPr>
              <w:pStyle w:val="TableBody"/>
              <w:jc w:val="center"/>
            </w:pPr>
          </w:p>
        </w:tc>
      </w:tr>
      <w:tr w:rsidR="004919F6" w:rsidRPr="00F06DBB" w14:paraId="24496B7C" w14:textId="770F27C8" w:rsidTr="004919F6">
        <w:trPr>
          <w:trHeight w:val="340"/>
        </w:trPr>
        <w:tc>
          <w:tcPr>
            <w:tcW w:w="2333" w:type="dxa"/>
          </w:tcPr>
          <w:p w14:paraId="4CC7EFE9" w14:textId="77777777" w:rsidR="004919F6" w:rsidRDefault="004919F6" w:rsidP="004F79B1">
            <w:pPr>
              <w:pStyle w:val="TableBody"/>
            </w:pPr>
            <w:r>
              <w:t>South Creek (S3)</w:t>
            </w:r>
          </w:p>
        </w:tc>
        <w:tc>
          <w:tcPr>
            <w:tcW w:w="1161" w:type="dxa"/>
            <w:tcBorders>
              <w:top w:val="single" w:sz="4" w:space="0" w:color="000000"/>
              <w:bottom w:val="single" w:sz="4" w:space="0" w:color="000000"/>
            </w:tcBorders>
          </w:tcPr>
          <w:p w14:paraId="2D4B94F0" w14:textId="77777777" w:rsidR="004919F6" w:rsidRPr="00F06DBB" w:rsidRDefault="004919F6" w:rsidP="004F79B1">
            <w:pPr>
              <w:pStyle w:val="TableBody"/>
              <w:jc w:val="center"/>
            </w:pPr>
          </w:p>
        </w:tc>
        <w:tc>
          <w:tcPr>
            <w:tcW w:w="1162" w:type="dxa"/>
            <w:tcBorders>
              <w:top w:val="single" w:sz="4" w:space="0" w:color="000000"/>
              <w:bottom w:val="single" w:sz="4" w:space="0" w:color="000000"/>
            </w:tcBorders>
          </w:tcPr>
          <w:p w14:paraId="479D861E" w14:textId="77777777" w:rsidR="004919F6" w:rsidRPr="00F06DBB" w:rsidRDefault="004919F6" w:rsidP="004F79B1">
            <w:pPr>
              <w:pStyle w:val="TableBody"/>
              <w:jc w:val="center"/>
            </w:pPr>
          </w:p>
        </w:tc>
        <w:tc>
          <w:tcPr>
            <w:tcW w:w="1162" w:type="dxa"/>
            <w:tcBorders>
              <w:top w:val="single" w:sz="4" w:space="0" w:color="000000"/>
              <w:bottom w:val="single" w:sz="4" w:space="0" w:color="000000"/>
            </w:tcBorders>
          </w:tcPr>
          <w:p w14:paraId="012EF8F4" w14:textId="77777777" w:rsidR="004919F6" w:rsidRPr="00F06DBB" w:rsidRDefault="004919F6" w:rsidP="004F79B1">
            <w:pPr>
              <w:pStyle w:val="TableBody"/>
              <w:jc w:val="center"/>
            </w:pPr>
            <w:r>
              <w:sym w:font="Wingdings" w:char="F0FC"/>
            </w:r>
          </w:p>
        </w:tc>
        <w:tc>
          <w:tcPr>
            <w:tcW w:w="1162" w:type="dxa"/>
            <w:tcBorders>
              <w:top w:val="single" w:sz="4" w:space="0" w:color="000000"/>
              <w:bottom w:val="single" w:sz="4" w:space="0" w:color="000000"/>
            </w:tcBorders>
          </w:tcPr>
          <w:p w14:paraId="02116A22" w14:textId="77777777" w:rsidR="004919F6" w:rsidRPr="00F06DBB" w:rsidRDefault="004919F6" w:rsidP="004F79B1">
            <w:pPr>
              <w:pStyle w:val="TableBody"/>
              <w:jc w:val="center"/>
            </w:pPr>
            <w:r>
              <w:sym w:font="Wingdings" w:char="F0FC"/>
            </w:r>
          </w:p>
        </w:tc>
        <w:tc>
          <w:tcPr>
            <w:tcW w:w="1162" w:type="dxa"/>
            <w:tcBorders>
              <w:top w:val="single" w:sz="4" w:space="0" w:color="000000"/>
              <w:bottom w:val="single" w:sz="4" w:space="0" w:color="000000"/>
            </w:tcBorders>
          </w:tcPr>
          <w:p w14:paraId="71214463" w14:textId="77777777" w:rsidR="004919F6" w:rsidRPr="00F06DBB" w:rsidRDefault="004919F6" w:rsidP="004F79B1">
            <w:pPr>
              <w:pStyle w:val="TableBody"/>
              <w:jc w:val="center"/>
            </w:pPr>
            <w:r>
              <w:sym w:font="Wingdings" w:char="F0FC"/>
            </w:r>
          </w:p>
        </w:tc>
        <w:tc>
          <w:tcPr>
            <w:tcW w:w="1038" w:type="dxa"/>
            <w:tcBorders>
              <w:top w:val="single" w:sz="4" w:space="0" w:color="000000"/>
              <w:bottom w:val="single" w:sz="4" w:space="0" w:color="000000"/>
            </w:tcBorders>
          </w:tcPr>
          <w:p w14:paraId="1B762D4D" w14:textId="77777777" w:rsidR="004919F6" w:rsidRDefault="004919F6" w:rsidP="004F79B1">
            <w:pPr>
              <w:pStyle w:val="TableBody"/>
              <w:jc w:val="center"/>
            </w:pPr>
          </w:p>
        </w:tc>
      </w:tr>
      <w:tr w:rsidR="004919F6" w:rsidRPr="00F06DBB" w14:paraId="551BDC6D" w14:textId="1FB4B060" w:rsidTr="004919F6">
        <w:trPr>
          <w:trHeight w:val="340"/>
        </w:trPr>
        <w:tc>
          <w:tcPr>
            <w:tcW w:w="2333" w:type="dxa"/>
          </w:tcPr>
          <w:p w14:paraId="2FAD3336" w14:textId="77777777" w:rsidR="004919F6" w:rsidRDefault="004919F6" w:rsidP="004F79B1">
            <w:pPr>
              <w:pStyle w:val="TableBody"/>
            </w:pPr>
            <w:r>
              <w:t>Thompsons Creek (T1)</w:t>
            </w:r>
          </w:p>
        </w:tc>
        <w:tc>
          <w:tcPr>
            <w:tcW w:w="1161" w:type="dxa"/>
            <w:tcBorders>
              <w:top w:val="single" w:sz="4" w:space="0" w:color="000000"/>
              <w:bottom w:val="single" w:sz="4" w:space="0" w:color="000000"/>
            </w:tcBorders>
          </w:tcPr>
          <w:p w14:paraId="22927D2E" w14:textId="77777777" w:rsidR="004919F6" w:rsidRPr="00F06DBB" w:rsidRDefault="004919F6" w:rsidP="004F79B1">
            <w:pPr>
              <w:pStyle w:val="TableBody"/>
              <w:jc w:val="center"/>
            </w:pPr>
          </w:p>
        </w:tc>
        <w:tc>
          <w:tcPr>
            <w:tcW w:w="1162" w:type="dxa"/>
            <w:tcBorders>
              <w:top w:val="single" w:sz="4" w:space="0" w:color="000000"/>
              <w:bottom w:val="single" w:sz="4" w:space="0" w:color="000000"/>
            </w:tcBorders>
          </w:tcPr>
          <w:p w14:paraId="68D90A07" w14:textId="77777777" w:rsidR="004919F6" w:rsidRPr="00F06DBB" w:rsidRDefault="004919F6" w:rsidP="004F79B1">
            <w:pPr>
              <w:pStyle w:val="TableBody"/>
              <w:jc w:val="center"/>
            </w:pPr>
            <w:r>
              <w:sym w:font="Wingdings" w:char="F0FC"/>
            </w:r>
          </w:p>
        </w:tc>
        <w:tc>
          <w:tcPr>
            <w:tcW w:w="1162" w:type="dxa"/>
            <w:tcBorders>
              <w:top w:val="single" w:sz="4" w:space="0" w:color="000000"/>
              <w:bottom w:val="single" w:sz="4" w:space="0" w:color="000000"/>
            </w:tcBorders>
          </w:tcPr>
          <w:p w14:paraId="696290D9" w14:textId="77777777" w:rsidR="004919F6" w:rsidRPr="00F06DBB" w:rsidRDefault="004919F6" w:rsidP="004F79B1">
            <w:pPr>
              <w:pStyle w:val="TableBody"/>
              <w:jc w:val="center"/>
            </w:pPr>
            <w:r>
              <w:sym w:font="Wingdings" w:char="F0FC"/>
            </w:r>
          </w:p>
        </w:tc>
        <w:tc>
          <w:tcPr>
            <w:tcW w:w="1162" w:type="dxa"/>
            <w:tcBorders>
              <w:top w:val="single" w:sz="4" w:space="0" w:color="000000"/>
              <w:bottom w:val="single" w:sz="4" w:space="0" w:color="000000"/>
            </w:tcBorders>
          </w:tcPr>
          <w:p w14:paraId="055BBAAA" w14:textId="77777777" w:rsidR="004919F6" w:rsidRPr="00F06DBB" w:rsidRDefault="004919F6" w:rsidP="004F79B1">
            <w:pPr>
              <w:pStyle w:val="TableBody"/>
              <w:jc w:val="center"/>
            </w:pPr>
            <w:r>
              <w:sym w:font="Wingdings" w:char="F0FC"/>
            </w:r>
          </w:p>
        </w:tc>
        <w:tc>
          <w:tcPr>
            <w:tcW w:w="1162" w:type="dxa"/>
            <w:tcBorders>
              <w:top w:val="single" w:sz="4" w:space="0" w:color="000000"/>
              <w:bottom w:val="single" w:sz="4" w:space="0" w:color="000000"/>
            </w:tcBorders>
          </w:tcPr>
          <w:p w14:paraId="2B14B977" w14:textId="77777777" w:rsidR="004919F6" w:rsidRPr="00F06DBB" w:rsidRDefault="004919F6" w:rsidP="004F79B1">
            <w:pPr>
              <w:pStyle w:val="TableBody"/>
              <w:jc w:val="center"/>
            </w:pPr>
            <w:r>
              <w:sym w:font="Wingdings" w:char="F0FC"/>
            </w:r>
          </w:p>
        </w:tc>
        <w:tc>
          <w:tcPr>
            <w:tcW w:w="1038" w:type="dxa"/>
            <w:tcBorders>
              <w:top w:val="single" w:sz="4" w:space="0" w:color="000000"/>
              <w:bottom w:val="single" w:sz="4" w:space="0" w:color="000000"/>
            </w:tcBorders>
          </w:tcPr>
          <w:p w14:paraId="71DF1EB3" w14:textId="1F29C9A7" w:rsidR="004919F6" w:rsidRDefault="004919F6" w:rsidP="004F79B1">
            <w:pPr>
              <w:pStyle w:val="TableBody"/>
              <w:jc w:val="center"/>
            </w:pPr>
            <w:r>
              <w:sym w:font="Wingdings" w:char="F0FC"/>
            </w:r>
          </w:p>
        </w:tc>
      </w:tr>
      <w:tr w:rsidR="004919F6" w:rsidRPr="00F06DBB" w14:paraId="735C8AB9" w14:textId="17A9B257" w:rsidTr="004919F6">
        <w:trPr>
          <w:trHeight w:val="340"/>
        </w:trPr>
        <w:tc>
          <w:tcPr>
            <w:tcW w:w="2333" w:type="dxa"/>
          </w:tcPr>
          <w:p w14:paraId="28E42567" w14:textId="77777777" w:rsidR="004919F6" w:rsidRDefault="004919F6" w:rsidP="004F79B1">
            <w:pPr>
              <w:pStyle w:val="TableBody"/>
            </w:pPr>
            <w:proofErr w:type="spellStart"/>
            <w:r>
              <w:t>Duncans</w:t>
            </w:r>
            <w:proofErr w:type="spellEnd"/>
            <w:r>
              <w:t xml:space="preserve"> Creek (D1)</w:t>
            </w:r>
          </w:p>
        </w:tc>
        <w:tc>
          <w:tcPr>
            <w:tcW w:w="1161" w:type="dxa"/>
            <w:tcBorders>
              <w:top w:val="single" w:sz="4" w:space="0" w:color="000000"/>
              <w:bottom w:val="single" w:sz="4" w:space="0" w:color="000000"/>
            </w:tcBorders>
          </w:tcPr>
          <w:p w14:paraId="537BB828" w14:textId="77777777" w:rsidR="004919F6" w:rsidRPr="00F06DBB" w:rsidRDefault="004919F6" w:rsidP="004F79B1">
            <w:pPr>
              <w:pStyle w:val="TableBody"/>
              <w:jc w:val="center"/>
            </w:pPr>
          </w:p>
        </w:tc>
        <w:tc>
          <w:tcPr>
            <w:tcW w:w="1162" w:type="dxa"/>
            <w:tcBorders>
              <w:top w:val="single" w:sz="4" w:space="0" w:color="000000"/>
              <w:bottom w:val="single" w:sz="4" w:space="0" w:color="000000"/>
            </w:tcBorders>
          </w:tcPr>
          <w:p w14:paraId="4C54CB45" w14:textId="77777777" w:rsidR="004919F6" w:rsidRPr="00F06DBB" w:rsidRDefault="004919F6" w:rsidP="004F79B1">
            <w:pPr>
              <w:pStyle w:val="TableBody"/>
              <w:jc w:val="center"/>
            </w:pPr>
            <w:r>
              <w:sym w:font="Wingdings" w:char="F0FC"/>
            </w:r>
          </w:p>
        </w:tc>
        <w:tc>
          <w:tcPr>
            <w:tcW w:w="1162" w:type="dxa"/>
            <w:tcBorders>
              <w:top w:val="single" w:sz="4" w:space="0" w:color="000000"/>
              <w:bottom w:val="single" w:sz="4" w:space="0" w:color="000000"/>
            </w:tcBorders>
          </w:tcPr>
          <w:p w14:paraId="6C06EFC1" w14:textId="77777777" w:rsidR="004919F6" w:rsidRPr="00F06DBB" w:rsidRDefault="004919F6" w:rsidP="004F79B1">
            <w:pPr>
              <w:pStyle w:val="TableBody"/>
              <w:jc w:val="center"/>
            </w:pPr>
            <w:r>
              <w:sym w:font="Wingdings" w:char="F0FC"/>
            </w:r>
          </w:p>
        </w:tc>
        <w:tc>
          <w:tcPr>
            <w:tcW w:w="1162" w:type="dxa"/>
            <w:tcBorders>
              <w:top w:val="single" w:sz="4" w:space="0" w:color="000000"/>
              <w:bottom w:val="single" w:sz="4" w:space="0" w:color="000000"/>
            </w:tcBorders>
          </w:tcPr>
          <w:p w14:paraId="6128A936" w14:textId="77777777" w:rsidR="004919F6" w:rsidRPr="00F06DBB" w:rsidRDefault="004919F6" w:rsidP="004F79B1">
            <w:pPr>
              <w:pStyle w:val="TableBody"/>
              <w:jc w:val="center"/>
            </w:pPr>
            <w:r>
              <w:sym w:font="Wingdings" w:char="F0FC"/>
            </w:r>
          </w:p>
        </w:tc>
        <w:tc>
          <w:tcPr>
            <w:tcW w:w="1162" w:type="dxa"/>
            <w:tcBorders>
              <w:top w:val="single" w:sz="4" w:space="0" w:color="000000"/>
              <w:bottom w:val="single" w:sz="4" w:space="0" w:color="000000"/>
            </w:tcBorders>
          </w:tcPr>
          <w:p w14:paraId="6FF05E3F" w14:textId="77777777" w:rsidR="004919F6" w:rsidRPr="00F06DBB" w:rsidRDefault="004919F6" w:rsidP="004F79B1">
            <w:pPr>
              <w:pStyle w:val="TableBody"/>
              <w:jc w:val="center"/>
            </w:pPr>
            <w:r>
              <w:sym w:font="Wingdings" w:char="F0FC"/>
            </w:r>
          </w:p>
        </w:tc>
        <w:tc>
          <w:tcPr>
            <w:tcW w:w="1038" w:type="dxa"/>
            <w:tcBorders>
              <w:top w:val="single" w:sz="4" w:space="0" w:color="000000"/>
              <w:bottom w:val="single" w:sz="4" w:space="0" w:color="000000"/>
            </w:tcBorders>
          </w:tcPr>
          <w:p w14:paraId="642B6A14" w14:textId="2129C597" w:rsidR="004919F6" w:rsidRDefault="004919F6" w:rsidP="004F79B1">
            <w:pPr>
              <w:pStyle w:val="TableBody"/>
              <w:jc w:val="center"/>
            </w:pPr>
            <w:r>
              <w:sym w:font="Wingdings" w:char="F0FC"/>
            </w:r>
          </w:p>
        </w:tc>
      </w:tr>
      <w:tr w:rsidR="004919F6" w:rsidRPr="00F06DBB" w14:paraId="04F479E4" w14:textId="70915D20" w:rsidTr="004919F6">
        <w:trPr>
          <w:trHeight w:val="340"/>
        </w:trPr>
        <w:tc>
          <w:tcPr>
            <w:tcW w:w="2333" w:type="dxa"/>
          </w:tcPr>
          <w:p w14:paraId="4042D45E" w14:textId="77777777" w:rsidR="004919F6" w:rsidRDefault="004919F6" w:rsidP="004F79B1">
            <w:pPr>
              <w:pStyle w:val="TableBody"/>
            </w:pPr>
            <w:r>
              <w:t>Badgerys Creek (B1)</w:t>
            </w:r>
          </w:p>
        </w:tc>
        <w:tc>
          <w:tcPr>
            <w:tcW w:w="1161" w:type="dxa"/>
            <w:tcBorders>
              <w:top w:val="single" w:sz="4" w:space="0" w:color="000000"/>
              <w:bottom w:val="single" w:sz="4" w:space="0" w:color="000000"/>
            </w:tcBorders>
          </w:tcPr>
          <w:p w14:paraId="5ED9E90C" w14:textId="77777777" w:rsidR="004919F6" w:rsidRPr="00F06DBB" w:rsidRDefault="004919F6" w:rsidP="004F79B1">
            <w:pPr>
              <w:pStyle w:val="TableBody"/>
              <w:jc w:val="center"/>
            </w:pPr>
          </w:p>
        </w:tc>
        <w:tc>
          <w:tcPr>
            <w:tcW w:w="1162" w:type="dxa"/>
            <w:tcBorders>
              <w:top w:val="single" w:sz="4" w:space="0" w:color="000000"/>
              <w:bottom w:val="single" w:sz="4" w:space="0" w:color="000000"/>
            </w:tcBorders>
          </w:tcPr>
          <w:p w14:paraId="68CE5576" w14:textId="77777777" w:rsidR="004919F6" w:rsidRPr="00F06DBB" w:rsidRDefault="004919F6" w:rsidP="004F79B1">
            <w:pPr>
              <w:pStyle w:val="TableBody"/>
              <w:jc w:val="center"/>
            </w:pPr>
            <w:r>
              <w:sym w:font="Wingdings" w:char="F0FC"/>
            </w:r>
          </w:p>
        </w:tc>
        <w:tc>
          <w:tcPr>
            <w:tcW w:w="1162" w:type="dxa"/>
            <w:tcBorders>
              <w:top w:val="single" w:sz="4" w:space="0" w:color="000000"/>
              <w:bottom w:val="single" w:sz="4" w:space="0" w:color="000000"/>
            </w:tcBorders>
          </w:tcPr>
          <w:p w14:paraId="4EB1837B" w14:textId="77777777" w:rsidR="004919F6" w:rsidRPr="00F06DBB" w:rsidRDefault="004919F6" w:rsidP="004F79B1">
            <w:pPr>
              <w:pStyle w:val="TableBody"/>
              <w:jc w:val="center"/>
            </w:pPr>
          </w:p>
        </w:tc>
        <w:tc>
          <w:tcPr>
            <w:tcW w:w="1162" w:type="dxa"/>
            <w:tcBorders>
              <w:top w:val="single" w:sz="4" w:space="0" w:color="000000"/>
              <w:bottom w:val="single" w:sz="4" w:space="0" w:color="000000"/>
            </w:tcBorders>
          </w:tcPr>
          <w:p w14:paraId="0B0DE9F1" w14:textId="77777777" w:rsidR="004919F6" w:rsidRPr="00F06DBB" w:rsidRDefault="004919F6" w:rsidP="004F79B1">
            <w:pPr>
              <w:pStyle w:val="TableBody"/>
              <w:jc w:val="center"/>
            </w:pPr>
          </w:p>
        </w:tc>
        <w:tc>
          <w:tcPr>
            <w:tcW w:w="1162" w:type="dxa"/>
            <w:tcBorders>
              <w:top w:val="single" w:sz="4" w:space="0" w:color="000000"/>
              <w:bottom w:val="single" w:sz="4" w:space="0" w:color="000000"/>
            </w:tcBorders>
          </w:tcPr>
          <w:p w14:paraId="2FD47760" w14:textId="77777777" w:rsidR="004919F6" w:rsidRPr="00F06DBB" w:rsidRDefault="004919F6" w:rsidP="004F79B1">
            <w:pPr>
              <w:pStyle w:val="TableBody"/>
              <w:jc w:val="center"/>
            </w:pPr>
          </w:p>
        </w:tc>
        <w:tc>
          <w:tcPr>
            <w:tcW w:w="1038" w:type="dxa"/>
            <w:tcBorders>
              <w:top w:val="single" w:sz="4" w:space="0" w:color="000000"/>
              <w:bottom w:val="single" w:sz="4" w:space="0" w:color="000000"/>
            </w:tcBorders>
          </w:tcPr>
          <w:p w14:paraId="13AE88FE" w14:textId="5A8DF4FD" w:rsidR="004919F6" w:rsidRPr="00F06DBB" w:rsidRDefault="004919F6" w:rsidP="004F79B1">
            <w:pPr>
              <w:pStyle w:val="TableBody"/>
              <w:jc w:val="center"/>
            </w:pPr>
            <w:r>
              <w:sym w:font="Wingdings" w:char="F0FC"/>
            </w:r>
          </w:p>
        </w:tc>
      </w:tr>
      <w:tr w:rsidR="004919F6" w:rsidRPr="00F06DBB" w14:paraId="5E360F30" w14:textId="29CA2F33" w:rsidTr="004919F6">
        <w:trPr>
          <w:trHeight w:val="340"/>
        </w:trPr>
        <w:tc>
          <w:tcPr>
            <w:tcW w:w="2333" w:type="dxa"/>
          </w:tcPr>
          <w:p w14:paraId="31F4D567" w14:textId="77777777" w:rsidR="004919F6" w:rsidRDefault="004919F6" w:rsidP="004F79B1">
            <w:pPr>
              <w:pStyle w:val="TableBody"/>
            </w:pPr>
            <w:r>
              <w:t>Badgerys Creek (B2)</w:t>
            </w:r>
          </w:p>
        </w:tc>
        <w:tc>
          <w:tcPr>
            <w:tcW w:w="1161" w:type="dxa"/>
            <w:tcBorders>
              <w:top w:val="single" w:sz="4" w:space="0" w:color="000000"/>
              <w:bottom w:val="single" w:sz="4" w:space="0" w:color="000000"/>
            </w:tcBorders>
          </w:tcPr>
          <w:p w14:paraId="18ABA564" w14:textId="77777777" w:rsidR="004919F6" w:rsidRPr="00F06DBB" w:rsidRDefault="004919F6" w:rsidP="004F79B1">
            <w:pPr>
              <w:pStyle w:val="TableBody"/>
              <w:jc w:val="center"/>
            </w:pPr>
          </w:p>
        </w:tc>
        <w:tc>
          <w:tcPr>
            <w:tcW w:w="1162" w:type="dxa"/>
            <w:tcBorders>
              <w:top w:val="single" w:sz="4" w:space="0" w:color="000000"/>
              <w:bottom w:val="single" w:sz="4" w:space="0" w:color="000000"/>
            </w:tcBorders>
          </w:tcPr>
          <w:p w14:paraId="0BF4A00F" w14:textId="77777777" w:rsidR="004919F6" w:rsidRPr="00F06DBB" w:rsidRDefault="004919F6" w:rsidP="004F79B1">
            <w:pPr>
              <w:pStyle w:val="TableBody"/>
              <w:jc w:val="center"/>
            </w:pPr>
            <w:r>
              <w:sym w:font="Wingdings" w:char="F0FC"/>
            </w:r>
          </w:p>
        </w:tc>
        <w:tc>
          <w:tcPr>
            <w:tcW w:w="1162" w:type="dxa"/>
            <w:tcBorders>
              <w:top w:val="single" w:sz="4" w:space="0" w:color="000000"/>
              <w:bottom w:val="single" w:sz="4" w:space="0" w:color="000000"/>
            </w:tcBorders>
          </w:tcPr>
          <w:p w14:paraId="42AD11CD" w14:textId="77777777" w:rsidR="004919F6" w:rsidRPr="00F06DBB" w:rsidRDefault="004919F6" w:rsidP="004F79B1">
            <w:pPr>
              <w:pStyle w:val="TableBody"/>
              <w:jc w:val="center"/>
            </w:pPr>
          </w:p>
        </w:tc>
        <w:tc>
          <w:tcPr>
            <w:tcW w:w="1162" w:type="dxa"/>
            <w:tcBorders>
              <w:top w:val="single" w:sz="4" w:space="0" w:color="000000"/>
              <w:bottom w:val="single" w:sz="4" w:space="0" w:color="000000"/>
            </w:tcBorders>
          </w:tcPr>
          <w:p w14:paraId="0490C1B7" w14:textId="77777777" w:rsidR="004919F6" w:rsidRPr="00F06DBB" w:rsidRDefault="004919F6" w:rsidP="004F79B1">
            <w:pPr>
              <w:pStyle w:val="TableBody"/>
              <w:jc w:val="center"/>
            </w:pPr>
          </w:p>
        </w:tc>
        <w:tc>
          <w:tcPr>
            <w:tcW w:w="1162" w:type="dxa"/>
            <w:tcBorders>
              <w:top w:val="single" w:sz="4" w:space="0" w:color="000000"/>
              <w:bottom w:val="single" w:sz="4" w:space="0" w:color="000000"/>
            </w:tcBorders>
          </w:tcPr>
          <w:p w14:paraId="40642D99" w14:textId="77777777" w:rsidR="004919F6" w:rsidRPr="00F06DBB" w:rsidRDefault="004919F6" w:rsidP="004F79B1">
            <w:pPr>
              <w:pStyle w:val="TableBody"/>
              <w:jc w:val="center"/>
            </w:pPr>
          </w:p>
        </w:tc>
        <w:tc>
          <w:tcPr>
            <w:tcW w:w="1038" w:type="dxa"/>
            <w:tcBorders>
              <w:top w:val="single" w:sz="4" w:space="0" w:color="000000"/>
              <w:bottom w:val="single" w:sz="4" w:space="0" w:color="000000"/>
            </w:tcBorders>
          </w:tcPr>
          <w:p w14:paraId="4C817079" w14:textId="12FC8486" w:rsidR="004919F6" w:rsidRPr="00F06DBB" w:rsidRDefault="004919F6" w:rsidP="004F79B1">
            <w:pPr>
              <w:pStyle w:val="TableBody"/>
              <w:jc w:val="center"/>
            </w:pPr>
            <w:r>
              <w:sym w:font="Wingdings" w:char="F0FC"/>
            </w:r>
          </w:p>
        </w:tc>
      </w:tr>
      <w:tr w:rsidR="004919F6" w:rsidRPr="00F06DBB" w14:paraId="5A4CCDF3" w14:textId="1CC4AD99" w:rsidTr="004919F6">
        <w:trPr>
          <w:trHeight w:val="340"/>
        </w:trPr>
        <w:tc>
          <w:tcPr>
            <w:tcW w:w="2333" w:type="dxa"/>
          </w:tcPr>
          <w:p w14:paraId="5AF17EA6" w14:textId="77777777" w:rsidR="004919F6" w:rsidRDefault="004919F6" w:rsidP="004F79B1">
            <w:pPr>
              <w:pStyle w:val="TableBody"/>
            </w:pPr>
            <w:r>
              <w:t>Badgerys Creek (B3)</w:t>
            </w:r>
          </w:p>
        </w:tc>
        <w:tc>
          <w:tcPr>
            <w:tcW w:w="1161" w:type="dxa"/>
            <w:tcBorders>
              <w:top w:val="single" w:sz="4" w:space="0" w:color="000000"/>
              <w:bottom w:val="single" w:sz="4" w:space="0" w:color="000000"/>
            </w:tcBorders>
          </w:tcPr>
          <w:p w14:paraId="7D949AD1" w14:textId="77777777" w:rsidR="004919F6" w:rsidRPr="00F06DBB" w:rsidRDefault="004919F6" w:rsidP="004F79B1">
            <w:pPr>
              <w:pStyle w:val="TableBody"/>
              <w:jc w:val="center"/>
            </w:pPr>
            <w:r>
              <w:sym w:font="Wingdings" w:char="F0FC"/>
            </w:r>
          </w:p>
        </w:tc>
        <w:tc>
          <w:tcPr>
            <w:tcW w:w="1162" w:type="dxa"/>
            <w:tcBorders>
              <w:top w:val="single" w:sz="4" w:space="0" w:color="000000"/>
              <w:bottom w:val="single" w:sz="4" w:space="0" w:color="000000"/>
            </w:tcBorders>
          </w:tcPr>
          <w:p w14:paraId="49042F13" w14:textId="77777777" w:rsidR="004919F6" w:rsidRPr="00F06DBB" w:rsidRDefault="004919F6" w:rsidP="004F79B1">
            <w:pPr>
              <w:pStyle w:val="TableBody"/>
              <w:jc w:val="center"/>
            </w:pPr>
            <w:r>
              <w:sym w:font="Wingdings" w:char="F0FC"/>
            </w:r>
          </w:p>
        </w:tc>
        <w:tc>
          <w:tcPr>
            <w:tcW w:w="1162" w:type="dxa"/>
            <w:tcBorders>
              <w:top w:val="single" w:sz="4" w:space="0" w:color="000000"/>
              <w:bottom w:val="single" w:sz="4" w:space="0" w:color="000000"/>
            </w:tcBorders>
          </w:tcPr>
          <w:p w14:paraId="408EBC00" w14:textId="77777777" w:rsidR="004919F6" w:rsidRPr="00F06DBB" w:rsidRDefault="004919F6" w:rsidP="004F79B1">
            <w:pPr>
              <w:pStyle w:val="TableBody"/>
              <w:jc w:val="center"/>
            </w:pPr>
            <w:r>
              <w:sym w:font="Wingdings" w:char="F0FC"/>
            </w:r>
          </w:p>
        </w:tc>
        <w:tc>
          <w:tcPr>
            <w:tcW w:w="1162" w:type="dxa"/>
            <w:tcBorders>
              <w:top w:val="single" w:sz="4" w:space="0" w:color="000000"/>
              <w:bottom w:val="single" w:sz="4" w:space="0" w:color="000000"/>
            </w:tcBorders>
          </w:tcPr>
          <w:p w14:paraId="3ECF2C82" w14:textId="77777777" w:rsidR="004919F6" w:rsidRPr="00F06DBB" w:rsidRDefault="004919F6" w:rsidP="004F79B1">
            <w:pPr>
              <w:pStyle w:val="TableBody"/>
              <w:jc w:val="center"/>
            </w:pPr>
            <w:r>
              <w:sym w:font="Wingdings" w:char="F0FC"/>
            </w:r>
          </w:p>
        </w:tc>
        <w:tc>
          <w:tcPr>
            <w:tcW w:w="1162" w:type="dxa"/>
            <w:tcBorders>
              <w:top w:val="single" w:sz="4" w:space="0" w:color="000000"/>
              <w:bottom w:val="single" w:sz="4" w:space="0" w:color="000000"/>
            </w:tcBorders>
          </w:tcPr>
          <w:p w14:paraId="2CEB4F45" w14:textId="77777777" w:rsidR="004919F6" w:rsidRPr="00F06DBB" w:rsidRDefault="004919F6" w:rsidP="004F79B1">
            <w:pPr>
              <w:pStyle w:val="TableBody"/>
              <w:jc w:val="center"/>
            </w:pPr>
            <w:r>
              <w:sym w:font="Wingdings" w:char="F0FC"/>
            </w:r>
          </w:p>
        </w:tc>
        <w:tc>
          <w:tcPr>
            <w:tcW w:w="1038" w:type="dxa"/>
            <w:tcBorders>
              <w:top w:val="single" w:sz="4" w:space="0" w:color="000000"/>
              <w:bottom w:val="single" w:sz="4" w:space="0" w:color="000000"/>
            </w:tcBorders>
          </w:tcPr>
          <w:p w14:paraId="40447FAD" w14:textId="7C74D0C2" w:rsidR="004919F6" w:rsidRDefault="004919F6" w:rsidP="004F79B1">
            <w:pPr>
              <w:pStyle w:val="TableBody"/>
              <w:jc w:val="center"/>
            </w:pPr>
            <w:r>
              <w:sym w:font="Wingdings" w:char="F0FC"/>
            </w:r>
          </w:p>
        </w:tc>
      </w:tr>
      <w:tr w:rsidR="004919F6" w:rsidRPr="00F06DBB" w14:paraId="2FA28CF8" w14:textId="1EE2F96D" w:rsidTr="004919F6">
        <w:trPr>
          <w:trHeight w:val="340"/>
        </w:trPr>
        <w:tc>
          <w:tcPr>
            <w:tcW w:w="2333" w:type="dxa"/>
          </w:tcPr>
          <w:p w14:paraId="4F85D2D8" w14:textId="77777777" w:rsidR="004919F6" w:rsidRDefault="004919F6" w:rsidP="004F79B1">
            <w:pPr>
              <w:pStyle w:val="TableBody"/>
            </w:pPr>
            <w:r>
              <w:t>Cosgrove Creek (C1)</w:t>
            </w:r>
          </w:p>
        </w:tc>
        <w:tc>
          <w:tcPr>
            <w:tcW w:w="1161" w:type="dxa"/>
            <w:tcBorders>
              <w:top w:val="single" w:sz="4" w:space="0" w:color="000000"/>
              <w:bottom w:val="single" w:sz="4" w:space="0" w:color="000000"/>
            </w:tcBorders>
          </w:tcPr>
          <w:p w14:paraId="5BF69410" w14:textId="77777777" w:rsidR="004919F6" w:rsidRPr="00F06DBB" w:rsidRDefault="004919F6" w:rsidP="004F79B1">
            <w:pPr>
              <w:pStyle w:val="TableBody"/>
              <w:jc w:val="center"/>
            </w:pPr>
          </w:p>
        </w:tc>
        <w:tc>
          <w:tcPr>
            <w:tcW w:w="1162" w:type="dxa"/>
            <w:tcBorders>
              <w:top w:val="single" w:sz="4" w:space="0" w:color="000000"/>
              <w:bottom w:val="single" w:sz="4" w:space="0" w:color="000000"/>
            </w:tcBorders>
          </w:tcPr>
          <w:p w14:paraId="1D9B23B9" w14:textId="77777777" w:rsidR="004919F6" w:rsidRPr="00F06DBB" w:rsidRDefault="004919F6" w:rsidP="004F79B1">
            <w:pPr>
              <w:pStyle w:val="TableBody"/>
              <w:jc w:val="center"/>
            </w:pPr>
            <w:r>
              <w:sym w:font="Wingdings" w:char="F0FC"/>
            </w:r>
          </w:p>
        </w:tc>
        <w:tc>
          <w:tcPr>
            <w:tcW w:w="1162" w:type="dxa"/>
            <w:tcBorders>
              <w:top w:val="single" w:sz="4" w:space="0" w:color="000000"/>
              <w:bottom w:val="single" w:sz="4" w:space="0" w:color="000000"/>
            </w:tcBorders>
          </w:tcPr>
          <w:p w14:paraId="63B637FD" w14:textId="77777777" w:rsidR="004919F6" w:rsidRPr="00F06DBB" w:rsidRDefault="004919F6" w:rsidP="004F79B1">
            <w:pPr>
              <w:pStyle w:val="TableBody"/>
              <w:jc w:val="center"/>
            </w:pPr>
          </w:p>
        </w:tc>
        <w:tc>
          <w:tcPr>
            <w:tcW w:w="1162" w:type="dxa"/>
            <w:tcBorders>
              <w:top w:val="single" w:sz="4" w:space="0" w:color="000000"/>
              <w:bottom w:val="single" w:sz="4" w:space="0" w:color="000000"/>
            </w:tcBorders>
          </w:tcPr>
          <w:p w14:paraId="608EBF32" w14:textId="77777777" w:rsidR="004919F6" w:rsidRPr="00F06DBB" w:rsidRDefault="004919F6" w:rsidP="004F79B1">
            <w:pPr>
              <w:pStyle w:val="TableBody"/>
              <w:jc w:val="center"/>
            </w:pPr>
          </w:p>
        </w:tc>
        <w:tc>
          <w:tcPr>
            <w:tcW w:w="1162" w:type="dxa"/>
            <w:tcBorders>
              <w:top w:val="single" w:sz="4" w:space="0" w:color="000000"/>
              <w:bottom w:val="single" w:sz="4" w:space="0" w:color="000000"/>
            </w:tcBorders>
          </w:tcPr>
          <w:p w14:paraId="5F49DCA5" w14:textId="77777777" w:rsidR="004919F6" w:rsidRPr="00F06DBB" w:rsidRDefault="004919F6" w:rsidP="004F79B1">
            <w:pPr>
              <w:pStyle w:val="TableBody"/>
              <w:jc w:val="center"/>
            </w:pPr>
          </w:p>
        </w:tc>
        <w:tc>
          <w:tcPr>
            <w:tcW w:w="1038" w:type="dxa"/>
            <w:tcBorders>
              <w:top w:val="single" w:sz="4" w:space="0" w:color="000000"/>
              <w:bottom w:val="single" w:sz="4" w:space="0" w:color="000000"/>
            </w:tcBorders>
          </w:tcPr>
          <w:p w14:paraId="04877B74" w14:textId="287998A4" w:rsidR="004919F6" w:rsidRPr="00F06DBB" w:rsidRDefault="004919F6" w:rsidP="004F79B1">
            <w:pPr>
              <w:pStyle w:val="TableBody"/>
              <w:jc w:val="center"/>
            </w:pPr>
            <w:r>
              <w:sym w:font="Wingdings" w:char="F0FC"/>
            </w:r>
          </w:p>
        </w:tc>
      </w:tr>
      <w:tr w:rsidR="004919F6" w:rsidRPr="00F06DBB" w14:paraId="6E7A4347" w14:textId="5C97D519" w:rsidTr="004919F6">
        <w:trPr>
          <w:trHeight w:val="340"/>
        </w:trPr>
        <w:tc>
          <w:tcPr>
            <w:tcW w:w="2333" w:type="dxa"/>
          </w:tcPr>
          <w:p w14:paraId="0A06D692" w14:textId="77777777" w:rsidR="004919F6" w:rsidRDefault="004919F6" w:rsidP="004F79B1">
            <w:pPr>
              <w:pStyle w:val="TableBody"/>
            </w:pPr>
            <w:r>
              <w:t>Cosgrove Creek (C3)</w:t>
            </w:r>
          </w:p>
        </w:tc>
        <w:tc>
          <w:tcPr>
            <w:tcW w:w="1161" w:type="dxa"/>
            <w:tcBorders>
              <w:top w:val="single" w:sz="4" w:space="0" w:color="000000"/>
            </w:tcBorders>
          </w:tcPr>
          <w:p w14:paraId="436255A9" w14:textId="77777777" w:rsidR="004919F6" w:rsidRPr="00F06DBB" w:rsidRDefault="004919F6" w:rsidP="004F79B1">
            <w:pPr>
              <w:pStyle w:val="TableBody"/>
              <w:jc w:val="center"/>
            </w:pPr>
            <w:r>
              <w:sym w:font="Wingdings" w:char="F0FC"/>
            </w:r>
          </w:p>
        </w:tc>
        <w:tc>
          <w:tcPr>
            <w:tcW w:w="1162" w:type="dxa"/>
            <w:tcBorders>
              <w:top w:val="single" w:sz="4" w:space="0" w:color="000000"/>
            </w:tcBorders>
          </w:tcPr>
          <w:p w14:paraId="2E7D1E32" w14:textId="77777777" w:rsidR="004919F6" w:rsidRPr="00F06DBB" w:rsidRDefault="004919F6" w:rsidP="004F79B1">
            <w:pPr>
              <w:pStyle w:val="TableBody"/>
              <w:jc w:val="center"/>
            </w:pPr>
            <w:r>
              <w:sym w:font="Wingdings" w:char="F0FC"/>
            </w:r>
          </w:p>
        </w:tc>
        <w:tc>
          <w:tcPr>
            <w:tcW w:w="1162" w:type="dxa"/>
            <w:tcBorders>
              <w:top w:val="single" w:sz="4" w:space="0" w:color="000000"/>
            </w:tcBorders>
          </w:tcPr>
          <w:p w14:paraId="10FC29ED" w14:textId="77777777" w:rsidR="004919F6" w:rsidRPr="00F06DBB" w:rsidRDefault="004919F6" w:rsidP="004F79B1">
            <w:pPr>
              <w:pStyle w:val="TableBody"/>
              <w:jc w:val="center"/>
            </w:pPr>
            <w:r>
              <w:sym w:font="Wingdings" w:char="F0FC"/>
            </w:r>
          </w:p>
        </w:tc>
        <w:tc>
          <w:tcPr>
            <w:tcW w:w="1162" w:type="dxa"/>
            <w:tcBorders>
              <w:top w:val="single" w:sz="4" w:space="0" w:color="000000"/>
            </w:tcBorders>
          </w:tcPr>
          <w:p w14:paraId="34E120B2" w14:textId="77777777" w:rsidR="004919F6" w:rsidRPr="00F06DBB" w:rsidRDefault="004919F6" w:rsidP="004F79B1">
            <w:pPr>
              <w:pStyle w:val="TableBody"/>
              <w:jc w:val="center"/>
            </w:pPr>
            <w:r>
              <w:sym w:font="Wingdings" w:char="F0FC"/>
            </w:r>
          </w:p>
        </w:tc>
        <w:tc>
          <w:tcPr>
            <w:tcW w:w="1162" w:type="dxa"/>
            <w:tcBorders>
              <w:top w:val="single" w:sz="4" w:space="0" w:color="000000"/>
            </w:tcBorders>
          </w:tcPr>
          <w:p w14:paraId="3BB01DF6" w14:textId="77777777" w:rsidR="004919F6" w:rsidRPr="00F06DBB" w:rsidRDefault="004919F6" w:rsidP="004F79B1">
            <w:pPr>
              <w:pStyle w:val="TableBody"/>
              <w:jc w:val="center"/>
            </w:pPr>
            <w:r>
              <w:sym w:font="Wingdings" w:char="F0FC"/>
            </w:r>
          </w:p>
        </w:tc>
        <w:tc>
          <w:tcPr>
            <w:tcW w:w="1038" w:type="dxa"/>
            <w:tcBorders>
              <w:top w:val="single" w:sz="4" w:space="0" w:color="000000"/>
            </w:tcBorders>
          </w:tcPr>
          <w:p w14:paraId="47D7169E" w14:textId="77777777" w:rsidR="004919F6" w:rsidRDefault="004919F6" w:rsidP="004F79B1">
            <w:pPr>
              <w:pStyle w:val="TableBody"/>
              <w:jc w:val="center"/>
            </w:pPr>
          </w:p>
        </w:tc>
      </w:tr>
    </w:tbl>
    <w:bookmarkEnd w:id="71"/>
    <w:p w14:paraId="53FB2BA0" w14:textId="77777777" w:rsidR="005241F5" w:rsidRDefault="002C1019" w:rsidP="004C2CCB">
      <w:pPr>
        <w:pStyle w:val="BodyText"/>
        <w:spacing w:before="240"/>
        <w:sectPr w:rsidR="005241F5" w:rsidSect="009378DC">
          <w:type w:val="oddPage"/>
          <w:pgSz w:w="11900" w:h="16840"/>
          <w:pgMar w:top="1418" w:right="1418" w:bottom="1418" w:left="1418" w:header="709" w:footer="709" w:gutter="0"/>
          <w:cols w:space="708"/>
          <w:docGrid w:linePitch="360"/>
        </w:sectPr>
      </w:pPr>
      <w:r>
        <w:t xml:space="preserve">The previous sampling locations and sampling events were used as the basis </w:t>
      </w:r>
      <w:r w:rsidR="00EA16F0">
        <w:t>for</w:t>
      </w:r>
      <w:r>
        <w:t xml:space="preserve"> develop</w:t>
      </w:r>
      <w:r w:rsidR="00EA16F0">
        <w:t>ment of</w:t>
      </w:r>
      <w:r>
        <w:t xml:space="preserve"> a </w:t>
      </w:r>
      <w:r w:rsidR="00EA16F0">
        <w:t xml:space="preserve">water quality </w:t>
      </w:r>
      <w:r>
        <w:t xml:space="preserve">sampling and analysis plan that would provide new data </w:t>
      </w:r>
      <w:r w:rsidR="00EA16F0">
        <w:t>for</w:t>
      </w:r>
      <w:r>
        <w:t xml:space="preserve"> compar</w:t>
      </w:r>
      <w:r w:rsidR="00EA16F0">
        <w:t>ison</w:t>
      </w:r>
      <w:r>
        <w:t xml:space="preserve"> </w:t>
      </w:r>
      <w:r w:rsidR="00EA16F0">
        <w:t>with</w:t>
      </w:r>
      <w:r>
        <w:t xml:space="preserve"> historic data. The </w:t>
      </w:r>
      <w:r w:rsidR="00EA16F0">
        <w:t xml:space="preserve">plan identified </w:t>
      </w:r>
      <w:r>
        <w:t>the same parameters that were analysed in previous sampling events</w:t>
      </w:r>
      <w:r w:rsidR="00EA16F0">
        <w:t xml:space="preserve"> as follows:</w:t>
      </w:r>
    </w:p>
    <w:p w14:paraId="2853EF94" w14:textId="77777777" w:rsidR="005241F5" w:rsidRDefault="005241F5" w:rsidP="005241F5">
      <w:pPr>
        <w:pStyle w:val="ListBullet"/>
      </w:pPr>
      <w:r>
        <w:t>Dissolved oxygen (% saturation)</w:t>
      </w:r>
    </w:p>
    <w:p w14:paraId="371ABC8F" w14:textId="77777777" w:rsidR="005241F5" w:rsidRDefault="005241F5" w:rsidP="005241F5">
      <w:pPr>
        <w:pStyle w:val="ListBullet"/>
      </w:pPr>
      <w:r>
        <w:t>Dissolved oxygen (mg/L)</w:t>
      </w:r>
    </w:p>
    <w:p w14:paraId="17C091D8" w14:textId="77777777" w:rsidR="005241F5" w:rsidRDefault="005241F5" w:rsidP="005241F5">
      <w:pPr>
        <w:pStyle w:val="ListBullet"/>
      </w:pPr>
      <w:r>
        <w:t>pH</w:t>
      </w:r>
    </w:p>
    <w:p w14:paraId="51A7C16B" w14:textId="77777777" w:rsidR="005241F5" w:rsidRDefault="005241F5" w:rsidP="005241F5">
      <w:pPr>
        <w:pStyle w:val="ListBullet"/>
      </w:pPr>
      <w:r>
        <w:t>Conductivity (</w:t>
      </w:r>
      <w:proofErr w:type="spellStart"/>
      <w:r>
        <w:rPr>
          <w:rFonts w:cs="Calibri"/>
        </w:rPr>
        <w:t>μ</w:t>
      </w:r>
      <w:r>
        <w:t>S</w:t>
      </w:r>
      <w:proofErr w:type="spellEnd"/>
      <w:r>
        <w:t>/cm)</w:t>
      </w:r>
    </w:p>
    <w:p w14:paraId="2BB3F752" w14:textId="77777777" w:rsidR="005241F5" w:rsidRDefault="005241F5" w:rsidP="005241F5">
      <w:pPr>
        <w:pStyle w:val="ListBullet"/>
      </w:pPr>
      <w:r>
        <w:t>Suspended solids (mg/L)</w:t>
      </w:r>
    </w:p>
    <w:p w14:paraId="3223C946" w14:textId="77777777" w:rsidR="005241F5" w:rsidRDefault="005241F5" w:rsidP="005241F5">
      <w:pPr>
        <w:pStyle w:val="ListBullet"/>
      </w:pPr>
      <w:r>
        <w:t>Turbidity (NTU)</w:t>
      </w:r>
    </w:p>
    <w:p w14:paraId="21ED5D05" w14:textId="77777777" w:rsidR="005241F5" w:rsidRDefault="005241F5" w:rsidP="005241F5">
      <w:pPr>
        <w:pStyle w:val="ListBullet"/>
      </w:pPr>
      <w:r>
        <w:t>Oils and grease</w:t>
      </w:r>
    </w:p>
    <w:p w14:paraId="2A165372" w14:textId="77777777" w:rsidR="005241F5" w:rsidRDefault="005241F5" w:rsidP="005241F5">
      <w:pPr>
        <w:pStyle w:val="ListBullet"/>
      </w:pPr>
      <w:r>
        <w:t>Total Phosphorus (mg/L)</w:t>
      </w:r>
    </w:p>
    <w:p w14:paraId="358C12F5" w14:textId="77777777" w:rsidR="005241F5" w:rsidRDefault="005241F5" w:rsidP="005241F5">
      <w:pPr>
        <w:pStyle w:val="ListBullet"/>
      </w:pPr>
      <w:r>
        <w:t>Nitrate as N (mg/L)</w:t>
      </w:r>
    </w:p>
    <w:p w14:paraId="59C012F9" w14:textId="77777777" w:rsidR="005241F5" w:rsidRDefault="005241F5" w:rsidP="005241F5">
      <w:pPr>
        <w:pStyle w:val="ListBullet"/>
      </w:pPr>
      <w:r>
        <w:t>Nitrite as N (mg/L)</w:t>
      </w:r>
    </w:p>
    <w:p w14:paraId="38A4CFB8" w14:textId="77777777" w:rsidR="005241F5" w:rsidRDefault="005241F5" w:rsidP="005241F5">
      <w:pPr>
        <w:pStyle w:val="ListBullet"/>
      </w:pPr>
      <w:r>
        <w:t>Ammonia as N (mg/L)</w:t>
      </w:r>
    </w:p>
    <w:p w14:paraId="25C1A9F3" w14:textId="77777777" w:rsidR="005241F5" w:rsidRDefault="005241F5" w:rsidP="005241F5">
      <w:pPr>
        <w:pStyle w:val="ListBullet"/>
      </w:pPr>
      <w:r>
        <w:t xml:space="preserve">Total </w:t>
      </w:r>
      <w:proofErr w:type="spellStart"/>
      <w:r>
        <w:t>Kjeldahl</w:t>
      </w:r>
      <w:proofErr w:type="spellEnd"/>
      <w:r>
        <w:t xml:space="preserve"> Nitrogen (mg/L)</w:t>
      </w:r>
    </w:p>
    <w:p w14:paraId="11A19C88" w14:textId="77777777" w:rsidR="005241F5" w:rsidRDefault="005241F5" w:rsidP="005241F5">
      <w:pPr>
        <w:pStyle w:val="ListBullet"/>
      </w:pPr>
      <w:r>
        <w:t>Total Nitrogen (mg/L)</w:t>
      </w:r>
    </w:p>
    <w:p w14:paraId="7FFECB4B" w14:textId="77777777" w:rsidR="005241F5" w:rsidRDefault="005241F5" w:rsidP="005241F5">
      <w:pPr>
        <w:pStyle w:val="ListBullet"/>
      </w:pPr>
      <w:r>
        <w:t>MBAS (mg/L)</w:t>
      </w:r>
    </w:p>
    <w:p w14:paraId="6CC9FDCB" w14:textId="77777777" w:rsidR="005241F5" w:rsidRDefault="005241F5" w:rsidP="005241F5">
      <w:pPr>
        <w:pStyle w:val="ListBullet"/>
      </w:pPr>
      <w:r>
        <w:t>Total Organic Carbon (mg/L)</w:t>
      </w:r>
    </w:p>
    <w:p w14:paraId="1C1A5733" w14:textId="77777777" w:rsidR="005241F5" w:rsidRDefault="005241F5" w:rsidP="005241F5">
      <w:pPr>
        <w:pStyle w:val="ListBullet"/>
      </w:pPr>
      <w:proofErr w:type="spellStart"/>
      <w:r>
        <w:t>Phenolics</w:t>
      </w:r>
      <w:proofErr w:type="spellEnd"/>
      <w:r>
        <w:t xml:space="preserve"> as Phenols (mg/L)</w:t>
      </w:r>
    </w:p>
    <w:p w14:paraId="398FFC25" w14:textId="77777777" w:rsidR="005241F5" w:rsidRDefault="005241F5" w:rsidP="005241F5">
      <w:pPr>
        <w:pStyle w:val="ListBullet"/>
      </w:pPr>
      <w:r>
        <w:t>Iron</w:t>
      </w:r>
    </w:p>
    <w:p w14:paraId="61936E04" w14:textId="63C8EF41" w:rsidR="005241F5" w:rsidRDefault="005241F5" w:rsidP="005241F5">
      <w:pPr>
        <w:pStyle w:val="ListBullet"/>
      </w:pPr>
      <w:r>
        <w:t>Nickel</w:t>
      </w:r>
    </w:p>
    <w:p w14:paraId="052EE74D" w14:textId="77777777" w:rsidR="005241F5" w:rsidRDefault="005241F5" w:rsidP="005241F5">
      <w:pPr>
        <w:pStyle w:val="ListBullet"/>
      </w:pPr>
      <w:r>
        <w:t>Copper</w:t>
      </w:r>
    </w:p>
    <w:p w14:paraId="736C1FD4" w14:textId="77777777" w:rsidR="005241F5" w:rsidRDefault="005241F5" w:rsidP="005241F5">
      <w:pPr>
        <w:pStyle w:val="ListBullet"/>
      </w:pPr>
      <w:r>
        <w:t>Chromium</w:t>
      </w:r>
    </w:p>
    <w:p w14:paraId="160E0453" w14:textId="77777777" w:rsidR="005241F5" w:rsidRDefault="005241F5" w:rsidP="005241F5">
      <w:pPr>
        <w:pStyle w:val="ListBullet"/>
      </w:pPr>
      <w:r>
        <w:t>Zinc</w:t>
      </w:r>
    </w:p>
    <w:p w14:paraId="32C8A4D1" w14:textId="77777777" w:rsidR="005241F5" w:rsidRDefault="005241F5" w:rsidP="005241F5">
      <w:pPr>
        <w:pStyle w:val="ListBullet"/>
      </w:pPr>
      <w:r>
        <w:t>Lead</w:t>
      </w:r>
    </w:p>
    <w:p w14:paraId="5667B666" w14:textId="77777777" w:rsidR="005241F5" w:rsidRDefault="005241F5" w:rsidP="005241F5">
      <w:pPr>
        <w:pStyle w:val="ListBullet"/>
      </w:pPr>
      <w:r>
        <w:t>Cadmium</w:t>
      </w:r>
    </w:p>
    <w:p w14:paraId="63CD440A" w14:textId="77777777" w:rsidR="005241F5" w:rsidRDefault="005241F5" w:rsidP="005241F5">
      <w:pPr>
        <w:pStyle w:val="ListBullet"/>
      </w:pPr>
      <w:r>
        <w:t>Mercury</w:t>
      </w:r>
    </w:p>
    <w:p w14:paraId="54B81D6E" w14:textId="77777777" w:rsidR="005241F5" w:rsidRDefault="005241F5" w:rsidP="005241F5">
      <w:pPr>
        <w:pStyle w:val="ListBullet"/>
      </w:pPr>
      <w:r>
        <w:t>TPH C6-C9</w:t>
      </w:r>
    </w:p>
    <w:p w14:paraId="364DF115" w14:textId="77777777" w:rsidR="005241F5" w:rsidRDefault="005241F5" w:rsidP="005241F5">
      <w:pPr>
        <w:pStyle w:val="ListBullet"/>
      </w:pPr>
      <w:r>
        <w:t>TPH C10-C14</w:t>
      </w:r>
    </w:p>
    <w:p w14:paraId="67269096" w14:textId="77777777" w:rsidR="005241F5" w:rsidRDefault="005241F5" w:rsidP="005241F5">
      <w:pPr>
        <w:pStyle w:val="ListBullet"/>
      </w:pPr>
      <w:r>
        <w:t>TPH C15-C28</w:t>
      </w:r>
    </w:p>
    <w:p w14:paraId="4D85C227" w14:textId="77777777" w:rsidR="005241F5" w:rsidRDefault="005241F5" w:rsidP="005241F5">
      <w:pPr>
        <w:pStyle w:val="ListBullet"/>
      </w:pPr>
      <w:r>
        <w:t>TPH C29-C36</w:t>
      </w:r>
    </w:p>
    <w:p w14:paraId="1F762F15" w14:textId="77777777" w:rsidR="005241F5" w:rsidRDefault="005241F5" w:rsidP="005241F5">
      <w:pPr>
        <w:pStyle w:val="ListBullet"/>
      </w:pPr>
      <w:r>
        <w:t>VAC – benzene</w:t>
      </w:r>
    </w:p>
    <w:p w14:paraId="13F8F519" w14:textId="77777777" w:rsidR="005241F5" w:rsidRDefault="005241F5" w:rsidP="005241F5">
      <w:pPr>
        <w:pStyle w:val="ListBullet"/>
      </w:pPr>
      <w:r>
        <w:t>VAC – toluene</w:t>
      </w:r>
    </w:p>
    <w:p w14:paraId="50DF89F6" w14:textId="77777777" w:rsidR="005241F5" w:rsidRDefault="005241F5" w:rsidP="005241F5">
      <w:pPr>
        <w:pStyle w:val="ListBullet"/>
      </w:pPr>
      <w:r>
        <w:t>VAC – xylene</w:t>
      </w:r>
    </w:p>
    <w:p w14:paraId="2ABC7FF4" w14:textId="77777777" w:rsidR="005241F5" w:rsidRDefault="005241F5" w:rsidP="005241F5">
      <w:pPr>
        <w:pStyle w:val="ListBullet"/>
      </w:pPr>
      <w:r>
        <w:t>Ethyl Benzene</w:t>
      </w:r>
    </w:p>
    <w:p w14:paraId="1C858876" w14:textId="77777777" w:rsidR="005241F5" w:rsidRDefault="005241F5" w:rsidP="005241F5">
      <w:pPr>
        <w:pStyle w:val="ListBullet"/>
      </w:pPr>
      <w:r>
        <w:t>VAC – others</w:t>
      </w:r>
    </w:p>
    <w:p w14:paraId="49D0E205" w14:textId="77777777" w:rsidR="005241F5" w:rsidRDefault="005241F5" w:rsidP="005241F5">
      <w:pPr>
        <w:pStyle w:val="ListBullet"/>
      </w:pPr>
      <w:r>
        <w:t>PAHs</w:t>
      </w:r>
    </w:p>
    <w:p w14:paraId="6D7BBAC5" w14:textId="77777777" w:rsidR="005241F5" w:rsidRDefault="005241F5" w:rsidP="005241F5">
      <w:pPr>
        <w:pStyle w:val="ListBullet"/>
      </w:pPr>
      <w:r>
        <w:t xml:space="preserve">VHCs – 1,2, </w:t>
      </w:r>
      <w:proofErr w:type="spellStart"/>
      <w:r>
        <w:t>dichlorbenzene</w:t>
      </w:r>
      <w:proofErr w:type="spellEnd"/>
    </w:p>
    <w:p w14:paraId="75BF0B82" w14:textId="00DD6E83" w:rsidR="005241F5" w:rsidRDefault="005241F5" w:rsidP="005241F5">
      <w:pPr>
        <w:pStyle w:val="ListBullet"/>
      </w:pPr>
      <w:r>
        <w:t>VHCs – others.</w:t>
      </w:r>
    </w:p>
    <w:p w14:paraId="6FF06E29" w14:textId="77777777" w:rsidR="005241F5" w:rsidRDefault="005241F5" w:rsidP="004C2CCB">
      <w:pPr>
        <w:pStyle w:val="BodyText"/>
        <w:spacing w:before="240"/>
        <w:sectPr w:rsidR="005241F5" w:rsidSect="005241F5">
          <w:type w:val="continuous"/>
          <w:pgSz w:w="11900" w:h="16840"/>
          <w:pgMar w:top="1418" w:right="1418" w:bottom="1418" w:left="1418" w:header="709" w:footer="709" w:gutter="0"/>
          <w:cols w:num="2" w:space="708"/>
          <w:docGrid w:linePitch="360"/>
        </w:sectPr>
      </w:pPr>
    </w:p>
    <w:p w14:paraId="465748DA" w14:textId="1D4D37BB" w:rsidR="003F2F7F" w:rsidRDefault="003F2F7F" w:rsidP="003F2F7F">
      <w:pPr>
        <w:pStyle w:val="BodyText"/>
        <w:ind w:left="-142"/>
        <w:jc w:val="center"/>
      </w:pPr>
      <w:bookmarkStart w:id="73" w:name="_Ref401558353"/>
      <w:bookmarkStart w:id="74" w:name="_Toc402441361"/>
      <w:r>
        <w:rPr>
          <w:noProof/>
          <w:lang w:eastAsia="en-AU"/>
        </w:rPr>
        <w:drawing>
          <wp:inline distT="0" distB="0" distL="0" distR="0" wp14:anchorId="365FC4AB" wp14:editId="71210FA9">
            <wp:extent cx="5800725" cy="8508641"/>
            <wp:effectExtent l="0" t="0" r="0" b="6985"/>
            <wp:docPr id="12" name="Picture 12" descr="Figure 5.1 Catchments and water quality sampling locations" title="Figure 5.1 Catchments and water quality sampling lo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_1 Sub-catchments.jpg"/>
                    <pic:cNvPicPr/>
                  </pic:nvPicPr>
                  <pic:blipFill rotWithShape="1">
                    <a:blip r:embed="rId28">
                      <a:extLst>
                        <a:ext uri="{28A0092B-C50C-407E-A947-70E740481C1C}">
                          <a14:useLocalDpi xmlns:a14="http://schemas.microsoft.com/office/drawing/2010/main" val="0"/>
                        </a:ext>
                      </a:extLst>
                    </a:blip>
                    <a:srcRect/>
                    <a:stretch/>
                  </pic:blipFill>
                  <pic:spPr bwMode="auto">
                    <a:xfrm>
                      <a:off x="0" y="0"/>
                      <a:ext cx="5803908" cy="8513310"/>
                    </a:xfrm>
                    <a:prstGeom prst="rect">
                      <a:avLst/>
                    </a:prstGeom>
                    <a:ln>
                      <a:noFill/>
                    </a:ln>
                    <a:extLst>
                      <a:ext uri="{53640926-AAD7-44D8-BBD7-CCE9431645EC}">
                        <a14:shadowObscured xmlns:a14="http://schemas.microsoft.com/office/drawing/2010/main"/>
                      </a:ext>
                    </a:extLst>
                  </pic:spPr>
                </pic:pic>
              </a:graphicData>
            </a:graphic>
          </wp:inline>
        </w:drawing>
      </w:r>
    </w:p>
    <w:p w14:paraId="33EDD11F" w14:textId="2B9DDD8E" w:rsidR="004C2CCB" w:rsidRDefault="00682A58" w:rsidP="003F2F7F">
      <w:pPr>
        <w:pStyle w:val="Caption"/>
        <w:ind w:left="1134" w:hanging="1134"/>
      </w:pPr>
      <w:proofErr w:type="gramStart"/>
      <w:r>
        <w:t xml:space="preserve">Figure </w:t>
      </w:r>
      <w:fldSimple w:instr=" STYLEREF 1 \s ">
        <w:r w:rsidR="004E469D">
          <w:rPr>
            <w:noProof/>
          </w:rPr>
          <w:t>5</w:t>
        </w:r>
      </w:fldSimple>
      <w:r w:rsidR="00500FAE">
        <w:t>.</w:t>
      </w:r>
      <w:proofErr w:type="gramEnd"/>
      <w:r w:rsidR="001C525C">
        <w:fldChar w:fldCharType="begin"/>
      </w:r>
      <w:r w:rsidR="001C525C">
        <w:instrText xml:space="preserve"> SEQ Figure \* ARABIC \s 1 </w:instrText>
      </w:r>
      <w:r w:rsidR="001C525C">
        <w:fldChar w:fldCharType="separate"/>
      </w:r>
      <w:r w:rsidR="004E469D">
        <w:rPr>
          <w:noProof/>
        </w:rPr>
        <w:t>1</w:t>
      </w:r>
      <w:r w:rsidR="001C525C">
        <w:rPr>
          <w:noProof/>
        </w:rPr>
        <w:fldChar w:fldCharType="end"/>
      </w:r>
      <w:bookmarkEnd w:id="73"/>
      <w:r>
        <w:tab/>
      </w:r>
      <w:r w:rsidR="00E5320F">
        <w:t>Catchments and w</w:t>
      </w:r>
      <w:r>
        <w:t>ater quality sampling locations</w:t>
      </w:r>
      <w:bookmarkEnd w:id="74"/>
    </w:p>
    <w:p w14:paraId="4934C70C" w14:textId="5892D450" w:rsidR="00F2414A" w:rsidRDefault="00EA16F0" w:rsidP="00382766">
      <w:pPr>
        <w:pStyle w:val="BodyText"/>
      </w:pPr>
      <w:r>
        <w:t xml:space="preserve">Field sampling was undertaken on 22 September 2104. The weather was fine with no occurrence of rainfall and with the exception of 0.4 mm recorded on 17 September </w:t>
      </w:r>
      <w:proofErr w:type="gramStart"/>
      <w:r>
        <w:t>2014,</w:t>
      </w:r>
      <w:proofErr w:type="gramEnd"/>
      <w:r>
        <w:t xml:space="preserve"> there had been no rainfall since 11 September 2014</w:t>
      </w:r>
      <w:r>
        <w:rPr>
          <w:rStyle w:val="FootnoteReference"/>
        </w:rPr>
        <w:footnoteReference w:id="6"/>
      </w:r>
      <w:r>
        <w:t>.</w:t>
      </w:r>
    </w:p>
    <w:p w14:paraId="21240FC3" w14:textId="73389D7D" w:rsidR="008842C1" w:rsidRDefault="008842C1" w:rsidP="00382766">
      <w:pPr>
        <w:pStyle w:val="BodyText"/>
      </w:pPr>
      <w:r>
        <w:t xml:space="preserve">Water quality sampling was undertaken by an experienced field technician and comprised a </w:t>
      </w:r>
      <w:r w:rsidR="00571775">
        <w:t xml:space="preserve">single </w:t>
      </w:r>
      <w:r>
        <w:t>grab sample</w:t>
      </w:r>
      <w:r w:rsidR="00571775">
        <w:t xml:space="preserve"> at each location</w:t>
      </w:r>
      <w:r>
        <w:t>. Samples were collected in accordance with recommended preservation and holdings times as advised by the analytical laboratory. Physical parameters (pH, salinity, dissolved oxygen, etc) were recorded in the field using a multi-parameter water quality meter.</w:t>
      </w:r>
    </w:p>
    <w:p w14:paraId="0A50B85A" w14:textId="3FE4E584" w:rsidR="00A03D4F" w:rsidRDefault="008842C1" w:rsidP="00382766">
      <w:pPr>
        <w:pStyle w:val="BodyText"/>
      </w:pPr>
      <w:r>
        <w:t xml:space="preserve">Samples were delivered to a NATA accredited laboratory for subsequent analysis the following day (23 September 2014). The full </w:t>
      </w:r>
      <w:r w:rsidR="00EE35FB">
        <w:t xml:space="preserve">laboratory </w:t>
      </w:r>
      <w:proofErr w:type="gramStart"/>
      <w:r>
        <w:t xml:space="preserve">report of </w:t>
      </w:r>
      <w:r w:rsidR="00EE35FB">
        <w:t xml:space="preserve">the </w:t>
      </w:r>
      <w:r>
        <w:t>analytical results are</w:t>
      </w:r>
      <w:proofErr w:type="gramEnd"/>
      <w:r>
        <w:t xml:space="preserve"> provided as Appendix E to this report.</w:t>
      </w:r>
      <w:r w:rsidR="008F65CA">
        <w:t xml:space="preserve"> Review of water quality analysis results has been undertaken with reference to the ANZECC 2000 guidelines.</w:t>
      </w:r>
    </w:p>
    <w:p w14:paraId="7FB7B3E9" w14:textId="4E958A8A" w:rsidR="00051D7B" w:rsidRDefault="00051D7B" w:rsidP="005613AC">
      <w:pPr>
        <w:pStyle w:val="Subheading"/>
      </w:pPr>
      <w:r>
        <w:t>Limitations</w:t>
      </w:r>
    </w:p>
    <w:p w14:paraId="5911A5C2" w14:textId="629DCBE3" w:rsidR="007A055C" w:rsidRDefault="007A055C" w:rsidP="007A055C">
      <w:pPr>
        <w:pStyle w:val="BodyText"/>
      </w:pPr>
      <w:r>
        <w:t>The limitations of the water quality survey are as follows:</w:t>
      </w:r>
    </w:p>
    <w:p w14:paraId="457DE1E3" w14:textId="4D7A376E" w:rsidR="00051D7B" w:rsidRDefault="00A30B31" w:rsidP="00AF0095">
      <w:pPr>
        <w:pStyle w:val="ListBullet"/>
      </w:pPr>
      <w:r>
        <w:t>Access to Site C3 on Cosgrove Creek was originally via Commonwealth land (associated with an agricultural research station). The land has since been divested and is now in private ownership. As such, this site was not sampled as part of this investigation.</w:t>
      </w:r>
    </w:p>
    <w:p w14:paraId="524573D9" w14:textId="7362D649" w:rsidR="00A30B31" w:rsidRDefault="00A30B31" w:rsidP="00AF0095">
      <w:pPr>
        <w:pStyle w:val="ListBullet"/>
      </w:pPr>
      <w:r>
        <w:t>Access to the three sites on South Creek is also currently via private land. These sites were not sampled as part of the current investigation.</w:t>
      </w:r>
    </w:p>
    <w:p w14:paraId="774CE953" w14:textId="77777777" w:rsidR="006E27BB" w:rsidRDefault="00B9200C" w:rsidP="00B9200C">
      <w:pPr>
        <w:pStyle w:val="BodyText"/>
      </w:pPr>
      <w:r>
        <w:t xml:space="preserve">As discussed in Section </w:t>
      </w:r>
      <w:r>
        <w:fldChar w:fldCharType="begin"/>
      </w:r>
      <w:r>
        <w:instrText xml:space="preserve"> REF _Ref401564963 \r \h </w:instrText>
      </w:r>
      <w:r>
        <w:fldChar w:fldCharType="separate"/>
      </w:r>
      <w:r w:rsidR="004E469D">
        <w:t>5.4.1</w:t>
      </w:r>
      <w:r>
        <w:fldChar w:fldCharType="end"/>
      </w:r>
      <w:r>
        <w:t xml:space="preserve">, the results of the water quality analysis are broadly similar to those from previous sampling rounds, and </w:t>
      </w:r>
      <w:r w:rsidR="006E27BB">
        <w:t xml:space="preserve">are </w:t>
      </w:r>
      <w:r>
        <w:t>considered to reflect the general</w:t>
      </w:r>
      <w:r w:rsidR="006E27BB">
        <w:t xml:space="preserve"> </w:t>
      </w:r>
      <w:r>
        <w:t xml:space="preserve">land </w:t>
      </w:r>
      <w:r w:rsidR="006E27BB">
        <w:t xml:space="preserve">use which has not materially changed </w:t>
      </w:r>
      <w:r>
        <w:t xml:space="preserve">over this time. It is considered likely that water quality sampling and analysis at the above four sites would have yielded </w:t>
      </w:r>
      <w:r w:rsidR="006E27BB">
        <w:t xml:space="preserve">generally </w:t>
      </w:r>
      <w:r>
        <w:t>simil</w:t>
      </w:r>
      <w:r w:rsidR="006E27BB">
        <w:t>ar results to those obtained.</w:t>
      </w:r>
    </w:p>
    <w:p w14:paraId="1AE76090" w14:textId="23DAB1B7" w:rsidR="00B9200C" w:rsidRDefault="006E27BB" w:rsidP="00B9200C">
      <w:pPr>
        <w:pStyle w:val="BodyText"/>
      </w:pPr>
      <w:r>
        <w:t>It is also noted that these four sites are downstream of the Commonwealth land. Water quality at these locations will be influenced by activities elsewhere in the catchment.</w:t>
      </w:r>
    </w:p>
    <w:p w14:paraId="58C2ED7B" w14:textId="507F384A" w:rsidR="0084795E" w:rsidRDefault="002F1D03" w:rsidP="00B9200C">
      <w:pPr>
        <w:pStyle w:val="BodyText"/>
      </w:pPr>
      <w:r>
        <w:t xml:space="preserve">The water quality investigation for the </w:t>
      </w:r>
      <w:r w:rsidR="00B444F0">
        <w:t>Draft EIS</w:t>
      </w:r>
      <w:r>
        <w:t xml:space="preserve"> included a comprehensive </w:t>
      </w:r>
      <w:r w:rsidR="0070395C">
        <w:t>survey of aquatic habitats, focussing largely on macroinvertebrates, to derive ecological indicators of water quality. The rationale for this</w:t>
      </w:r>
      <w:r w:rsidR="0084795E">
        <w:t xml:space="preserve"> was that ecological characteristics integrate water quality over time and facilitate identification of impacts that may not be detected through limited, discrete temporal sampling of physical and chemical parameters.</w:t>
      </w:r>
    </w:p>
    <w:p w14:paraId="3796EBC9" w14:textId="6BC40BE0" w:rsidR="002F1D03" w:rsidRDefault="0070395C" w:rsidP="00B9200C">
      <w:pPr>
        <w:pStyle w:val="BodyText"/>
      </w:pPr>
      <w:r>
        <w:t xml:space="preserve">Given time constraints, it was not possible to undertake a similar </w:t>
      </w:r>
      <w:r w:rsidR="000C4E66">
        <w:t xml:space="preserve">aquatic ecology </w:t>
      </w:r>
      <w:r>
        <w:t xml:space="preserve">survey for the current investigation. </w:t>
      </w:r>
      <w:r w:rsidR="0084795E">
        <w:t xml:space="preserve">As such, it is not possible to provide informed comment on </w:t>
      </w:r>
      <w:r w:rsidR="00564BB8">
        <w:t xml:space="preserve">water quality with regard to temporal variability and range </w:t>
      </w:r>
      <w:r w:rsidR="0084795E">
        <w:t>that might be reflected through macroinvertebrate populations and assemblages.</w:t>
      </w:r>
    </w:p>
    <w:p w14:paraId="5E215A8C" w14:textId="77777777" w:rsidR="004A07E5" w:rsidRDefault="004A07E5" w:rsidP="004A07E5">
      <w:pPr>
        <w:pStyle w:val="Heading2"/>
      </w:pPr>
      <w:bookmarkStart w:id="75" w:name="_Toc400720093"/>
      <w:r>
        <w:t>Key findings and information gaps</w:t>
      </w:r>
      <w:bookmarkEnd w:id="75"/>
    </w:p>
    <w:p w14:paraId="547B3A04" w14:textId="4915A9FB" w:rsidR="003B2F87" w:rsidRDefault="003B2F87" w:rsidP="001C525C">
      <w:pPr>
        <w:pStyle w:val="BodyText"/>
      </w:pPr>
      <w:bookmarkStart w:id="76" w:name="_Ref400703806"/>
      <w:r>
        <w:t xml:space="preserve">The Commonwealth land at Badgerys Creek extends across </w:t>
      </w:r>
      <w:r w:rsidR="003B30DB">
        <w:t>three</w:t>
      </w:r>
      <w:r>
        <w:t xml:space="preserve"> hydrological catchments</w:t>
      </w:r>
      <w:r w:rsidR="00BD0147">
        <w:t xml:space="preserve"> (refer Figure 5.1)</w:t>
      </w:r>
      <w:r>
        <w:t xml:space="preserve"> </w:t>
      </w:r>
      <w:proofErr w:type="spellStart"/>
      <w:r w:rsidR="00E7516F">
        <w:t>Duncans</w:t>
      </w:r>
      <w:proofErr w:type="spellEnd"/>
      <w:r w:rsidR="00E7516F">
        <w:t xml:space="preserve"> Creek sits within a small subcatchment that drains directly to the Nepean River. </w:t>
      </w:r>
      <w:r>
        <w:t>Cosgrove Creek</w:t>
      </w:r>
      <w:r w:rsidR="003B30DB">
        <w:t xml:space="preserve"> and </w:t>
      </w:r>
      <w:r>
        <w:t>Badgerys Creek</w:t>
      </w:r>
      <w:r w:rsidR="003B30DB">
        <w:t xml:space="preserve"> </w:t>
      </w:r>
      <w:r w:rsidR="00E7516F">
        <w:t>are within</w:t>
      </w:r>
      <w:r>
        <w:t xml:space="preserve"> </w:t>
      </w:r>
      <w:r w:rsidR="00E7516F">
        <w:t xml:space="preserve">two subcatchments that form part of the larger </w:t>
      </w:r>
      <w:r>
        <w:t>South Creek catchment</w:t>
      </w:r>
      <w:r w:rsidR="00E7516F">
        <w:t xml:space="preserve">. </w:t>
      </w:r>
      <w:r w:rsidR="003B30DB">
        <w:t xml:space="preserve">The headwaters of the Cosgrove Creek and </w:t>
      </w:r>
      <w:proofErr w:type="spellStart"/>
      <w:r w:rsidR="003B30DB">
        <w:t>Duncans</w:t>
      </w:r>
      <w:proofErr w:type="spellEnd"/>
      <w:r w:rsidR="003B30DB">
        <w:t xml:space="preserve"> Creek </w:t>
      </w:r>
      <w:proofErr w:type="spellStart"/>
      <w:r w:rsidR="003B30DB">
        <w:t>subcatchments</w:t>
      </w:r>
      <w:proofErr w:type="spellEnd"/>
      <w:r w:rsidR="003B30DB">
        <w:t xml:space="preserve"> sit within the Commonwealth land while a small area of the</w:t>
      </w:r>
      <w:r w:rsidR="006045E0">
        <w:t xml:space="preserve"> Badgerys Creek subcatchment</w:t>
      </w:r>
      <w:r w:rsidR="003B30DB">
        <w:t xml:space="preserve"> </w:t>
      </w:r>
      <w:r w:rsidR="00A11C83">
        <w:t>lie</w:t>
      </w:r>
      <w:r w:rsidR="003B30DB">
        <w:t>s</w:t>
      </w:r>
      <w:r w:rsidR="00A11C83">
        <w:t xml:space="preserve"> </w:t>
      </w:r>
      <w:r w:rsidR="003B30DB">
        <w:t>upstream of this land.</w:t>
      </w:r>
    </w:p>
    <w:p w14:paraId="1C1736FC" w14:textId="77777777" w:rsidR="00590939" w:rsidRDefault="00797C66" w:rsidP="00590939">
      <w:pPr>
        <w:pStyle w:val="BodyText"/>
      </w:pPr>
      <w:r>
        <w:t>South Creek has a catchment area of about 620 km</w:t>
      </w:r>
      <w:r w:rsidRPr="00797C66">
        <w:rPr>
          <w:vertAlign w:val="superscript"/>
        </w:rPr>
        <w:t>2</w:t>
      </w:r>
      <w:r>
        <w:t xml:space="preserve">. The </w:t>
      </w:r>
      <w:r w:rsidR="00B9200C">
        <w:t>area</w:t>
      </w:r>
      <w:r>
        <w:t xml:space="preserve"> of the Commonwealth land within the catchment is about 1,</w:t>
      </w:r>
      <w:r w:rsidR="00B9200C">
        <w:t>420</w:t>
      </w:r>
      <w:r>
        <w:t xml:space="preserve"> ha (0.1</w:t>
      </w:r>
      <w:r w:rsidR="00B9200C">
        <w:t>4</w:t>
      </w:r>
      <w:r>
        <w:t xml:space="preserve"> km</w:t>
      </w:r>
      <w:r w:rsidRPr="00797C66">
        <w:rPr>
          <w:vertAlign w:val="superscript"/>
        </w:rPr>
        <w:t>2</w:t>
      </w:r>
      <w:r w:rsidR="00E311F0">
        <w:t xml:space="preserve">). </w:t>
      </w:r>
      <w:r>
        <w:t>As such, it is expected that it would have a limited influence on hydrology and water quality in the wider catchment.</w:t>
      </w:r>
      <w:r w:rsidR="00590939">
        <w:t xml:space="preserve"> </w:t>
      </w:r>
      <w:r w:rsidR="00E311F0">
        <w:t>There is also a substantial portion of the South Creek catchment upstream of where the subcatchments containing the Commonwealth land join South Creek at its confluence with South Creek.</w:t>
      </w:r>
      <w:r w:rsidR="00590939">
        <w:t xml:space="preserve"> This will exert an influence on the downstream hydrological and water quality regimes.</w:t>
      </w:r>
    </w:p>
    <w:p w14:paraId="710532D1" w14:textId="41A52236" w:rsidR="00797C66" w:rsidRDefault="00590939" w:rsidP="00590939">
      <w:pPr>
        <w:pStyle w:val="BodyText"/>
      </w:pPr>
      <w:r>
        <w:t xml:space="preserve">Downstream water quality will also be influenced by three Sydney Water </w:t>
      </w:r>
      <w:r w:rsidR="00A90C45">
        <w:t xml:space="preserve">sewage treatment plants (St Marys, Quakers Hill, </w:t>
      </w:r>
      <w:proofErr w:type="gramStart"/>
      <w:r w:rsidR="00A90C45">
        <w:t>Riverstone</w:t>
      </w:r>
      <w:proofErr w:type="gramEnd"/>
      <w:r w:rsidR="00A90C45">
        <w:t>)</w:t>
      </w:r>
      <w:r>
        <w:t xml:space="preserve">. These are </w:t>
      </w:r>
      <w:r w:rsidR="00A90C45">
        <w:t>operate</w:t>
      </w:r>
      <w:r>
        <w:t>d</w:t>
      </w:r>
      <w:r w:rsidR="00A90C45">
        <w:t xml:space="preserve"> under a shared environment protection licence administered by OEH.</w:t>
      </w:r>
    </w:p>
    <w:p w14:paraId="54696ADE" w14:textId="4E608DF9" w:rsidR="006E27BB" w:rsidRDefault="007101C0" w:rsidP="006E27BB">
      <w:pPr>
        <w:pStyle w:val="BodyText"/>
      </w:pPr>
      <w:r>
        <w:t>T</w:t>
      </w:r>
      <w:r w:rsidR="00797C66">
        <w:t xml:space="preserve">here </w:t>
      </w:r>
      <w:r w:rsidR="006E27BB">
        <w:t>is a shallow aquifer in Quaternary alluvium and a deeper regional aquifer within the Bringelly Shale formation</w:t>
      </w:r>
      <w:r w:rsidR="00345832">
        <w:t xml:space="preserve"> in the locality. The </w:t>
      </w:r>
      <w:r>
        <w:t xml:space="preserve">Supplement to the </w:t>
      </w:r>
      <w:r w:rsidR="00345832">
        <w:t xml:space="preserve">Draft EIS </w:t>
      </w:r>
      <w:r>
        <w:t xml:space="preserve">indicated that water quality within both aquifers was saline, though as noted in Section 5.1.4, McNally (2009) </w:t>
      </w:r>
      <w:r w:rsidR="00AA779E">
        <w:t>reported</w:t>
      </w:r>
      <w:r>
        <w:t xml:space="preserve"> that salinity in the upper aquifer was low and similar to surface water. </w:t>
      </w:r>
      <w:r w:rsidR="006E27BB">
        <w:t xml:space="preserve">There are numerous small waterbodies, primarily farm dams, within the area. These </w:t>
      </w:r>
      <w:r>
        <w:t>likely have</w:t>
      </w:r>
      <w:r w:rsidR="006E27BB">
        <w:t xml:space="preserve"> connections to the shallow aquifer and </w:t>
      </w:r>
      <w:r>
        <w:t>may</w:t>
      </w:r>
      <w:r w:rsidR="006E27BB">
        <w:t xml:space="preserve"> influence water quality</w:t>
      </w:r>
      <w:r>
        <w:t xml:space="preserve"> within this aquifer.</w:t>
      </w:r>
    </w:p>
    <w:p w14:paraId="32932062" w14:textId="26C1EEE9" w:rsidR="00EF0432" w:rsidRDefault="003B30DB" w:rsidP="001C525C">
      <w:pPr>
        <w:pStyle w:val="BodyText"/>
      </w:pPr>
      <w:r>
        <w:t xml:space="preserve">There are no registered groundwater bores </w:t>
      </w:r>
      <w:r w:rsidR="00797C66">
        <w:t>within the boundary of the Commonwealth land. There are, however, a number in the wider surrounding area</w:t>
      </w:r>
      <w:r w:rsidR="00BD0147">
        <w:t xml:space="preserve"> (refer Figure 5.1) </w:t>
      </w:r>
      <w:r w:rsidR="00EF0432">
        <w:t xml:space="preserve">Management of surface water and groundwater resources in the South Creek catchment is subject to the </w:t>
      </w:r>
      <w:r w:rsidR="00EF0432" w:rsidRPr="00EF0432">
        <w:rPr>
          <w:i/>
        </w:rPr>
        <w:t>Water Sharing Plan for the Greater Metropolitan Region Unregulated River Water Sources 2011</w:t>
      </w:r>
      <w:r w:rsidR="00EF0432">
        <w:t xml:space="preserve"> and </w:t>
      </w:r>
      <w:r w:rsidR="00EF0432" w:rsidRPr="00EF0432">
        <w:rPr>
          <w:i/>
        </w:rPr>
        <w:t xml:space="preserve">Water Sharing Plan for the Greater Metropolitan Region </w:t>
      </w:r>
      <w:r w:rsidR="00EF0432">
        <w:rPr>
          <w:i/>
        </w:rPr>
        <w:t>Groundw</w:t>
      </w:r>
      <w:r w:rsidR="00EF0432" w:rsidRPr="00EF0432">
        <w:rPr>
          <w:i/>
        </w:rPr>
        <w:t>ater Sources 2011</w:t>
      </w:r>
      <w:r w:rsidR="00EF0432">
        <w:t xml:space="preserve"> respectively. Both Plans commenced operation on 1 July 2011 and are due for extension/replacement in July 2021.</w:t>
      </w:r>
    </w:p>
    <w:p w14:paraId="2F316CB2" w14:textId="2D5C1DC1" w:rsidR="00B91351" w:rsidRDefault="00EF0432" w:rsidP="00EF0432">
      <w:pPr>
        <w:pStyle w:val="BodyText"/>
      </w:pPr>
      <w:r w:rsidRPr="00EF0432">
        <w:t xml:space="preserve">Water sharing plans contain various rules applying to specific water sources. </w:t>
      </w:r>
      <w:r>
        <w:t>These</w:t>
      </w:r>
      <w:r w:rsidRPr="00EF0432">
        <w:t xml:space="preserve"> may include</w:t>
      </w:r>
      <w:r>
        <w:t xml:space="preserve"> </w:t>
      </w:r>
      <w:r w:rsidRPr="00EF0432">
        <w:t>environmental water rules, access licence dealing rules, rules for access licences, rules for water supply work approvals, rules for making available water determinations, and water allocation account rules.</w:t>
      </w:r>
      <w:r>
        <w:t xml:space="preserve"> Specific rules have been established for the South Cre</w:t>
      </w:r>
      <w:r w:rsidR="00B91351">
        <w:t>ek catchment for both surface water and groundwater</w:t>
      </w:r>
      <w:r w:rsidR="00B91351">
        <w:rPr>
          <w:rStyle w:val="FootnoteReference"/>
        </w:rPr>
        <w:footnoteReference w:id="7"/>
      </w:r>
      <w:r w:rsidR="00B91351">
        <w:t>. These can be accessed via the NSW Office of Water website</w:t>
      </w:r>
      <w:r w:rsidR="00B91351">
        <w:rPr>
          <w:rStyle w:val="FootnoteReference"/>
        </w:rPr>
        <w:footnoteReference w:id="8"/>
      </w:r>
      <w:r w:rsidR="00B91351">
        <w:t>.</w:t>
      </w:r>
    </w:p>
    <w:p w14:paraId="41C466BC" w14:textId="26A61723" w:rsidR="00893887" w:rsidRDefault="00893887" w:rsidP="00893887">
      <w:pPr>
        <w:pStyle w:val="Heading3"/>
      </w:pPr>
      <w:bookmarkStart w:id="77" w:name="_Ref401564963"/>
      <w:r>
        <w:t>Water quality</w:t>
      </w:r>
      <w:bookmarkEnd w:id="76"/>
      <w:bookmarkEnd w:id="77"/>
    </w:p>
    <w:p w14:paraId="2D4BC1ED" w14:textId="0DDFFEE7" w:rsidR="00672A47" w:rsidRDefault="00672A47" w:rsidP="00672A47">
      <w:pPr>
        <w:pStyle w:val="BodyText"/>
      </w:pPr>
      <w:r>
        <w:t>Degraded water quality in rural environments is caused by a range of factors including:</w:t>
      </w:r>
    </w:p>
    <w:p w14:paraId="4E5B66C8" w14:textId="551DE53E" w:rsidR="00672A47" w:rsidRDefault="007A055C" w:rsidP="00672A47">
      <w:pPr>
        <w:pStyle w:val="ListBullet"/>
      </w:pPr>
      <w:r>
        <w:t>t</w:t>
      </w:r>
      <w:r w:rsidR="00672A47">
        <w:t>ransportation of eroded soil, particularly from stream banks</w:t>
      </w:r>
    </w:p>
    <w:p w14:paraId="2382DDA6" w14:textId="0099B956" w:rsidR="00672A47" w:rsidRDefault="007A055C" w:rsidP="00672A47">
      <w:pPr>
        <w:pStyle w:val="ListBullet"/>
      </w:pPr>
      <w:r>
        <w:t>e</w:t>
      </w:r>
      <w:r w:rsidR="00672A47">
        <w:t>xcessive nutrients or nutrient enrichment</w:t>
      </w:r>
    </w:p>
    <w:p w14:paraId="6E7DFEB8" w14:textId="3C022EE6" w:rsidR="00672A47" w:rsidRDefault="007A055C" w:rsidP="00672A47">
      <w:pPr>
        <w:pStyle w:val="ListBullet"/>
      </w:pPr>
      <w:r>
        <w:t>c</w:t>
      </w:r>
      <w:r w:rsidR="00672A47">
        <w:t>hemical contamination by agrochemicals</w:t>
      </w:r>
    </w:p>
    <w:p w14:paraId="72A1DBBE" w14:textId="0B81A08A" w:rsidR="00672A47" w:rsidRDefault="007A055C" w:rsidP="00672A47">
      <w:pPr>
        <w:pStyle w:val="ListBullet"/>
      </w:pPr>
      <w:r>
        <w:t>d</w:t>
      </w:r>
      <w:r w:rsidR="00672A47">
        <w:t xml:space="preserve">etergents/phosphates, </w:t>
      </w:r>
      <w:proofErr w:type="spellStart"/>
      <w:r w:rsidR="00672A47">
        <w:t>organochlorines</w:t>
      </w:r>
      <w:proofErr w:type="spellEnd"/>
      <w:r w:rsidR="00672A47">
        <w:t xml:space="preserve"> (although now banned)</w:t>
      </w:r>
    </w:p>
    <w:p w14:paraId="4677EE73" w14:textId="085CFAA8" w:rsidR="00672A47" w:rsidRDefault="007A055C" w:rsidP="00672A47">
      <w:pPr>
        <w:pStyle w:val="ListBullet"/>
      </w:pPr>
      <w:r>
        <w:t>c</w:t>
      </w:r>
      <w:r w:rsidR="00672A47">
        <w:t>hemicals (</w:t>
      </w:r>
      <w:r w:rsidR="00A119BB">
        <w:t xml:space="preserve">e.g. </w:t>
      </w:r>
      <w:r w:rsidR="00672A47">
        <w:t xml:space="preserve">metal contamination, </w:t>
      </w:r>
      <w:r w:rsidR="00A119BB">
        <w:t>particularly from heavy metals such as i</w:t>
      </w:r>
      <w:r w:rsidR="00672A47">
        <w:t>ron, lead, copper and mercury)</w:t>
      </w:r>
    </w:p>
    <w:p w14:paraId="0203974F" w14:textId="518FC417" w:rsidR="00672A47" w:rsidRDefault="007A055C" w:rsidP="00672A47">
      <w:pPr>
        <w:pStyle w:val="ListBullet"/>
      </w:pPr>
      <w:r>
        <w:t>s</w:t>
      </w:r>
      <w:r w:rsidR="00672A47">
        <w:t>alts</w:t>
      </w:r>
    </w:p>
    <w:p w14:paraId="5ED069E5" w14:textId="448C5375" w:rsidR="00672A47" w:rsidRDefault="007A055C" w:rsidP="00672A47">
      <w:pPr>
        <w:pStyle w:val="ListBullet"/>
      </w:pPr>
      <w:r>
        <w:t>c</w:t>
      </w:r>
      <w:r w:rsidR="00672A47">
        <w:t>hanges to natural hydrological regimes</w:t>
      </w:r>
    </w:p>
    <w:p w14:paraId="7C7B58DF" w14:textId="501E06E6" w:rsidR="00672A47" w:rsidRDefault="007A055C" w:rsidP="00672A47">
      <w:pPr>
        <w:pStyle w:val="ListBullet"/>
      </w:pPr>
      <w:r>
        <w:t>i</w:t>
      </w:r>
      <w:r w:rsidR="00672A47">
        <w:t>nappropriate waste disposal</w:t>
      </w:r>
    </w:p>
    <w:p w14:paraId="230D5C53" w14:textId="0E7E09EB" w:rsidR="00672A47" w:rsidRDefault="007A055C" w:rsidP="00672A47">
      <w:pPr>
        <w:pStyle w:val="ListBullet"/>
      </w:pPr>
      <w:r>
        <w:t>s</w:t>
      </w:r>
      <w:r w:rsidR="00672A47">
        <w:t>eepage of contaminated groundwater into surface waterbodies</w:t>
      </w:r>
    </w:p>
    <w:p w14:paraId="2A6EE5C1" w14:textId="3BDD35A9" w:rsidR="00672A47" w:rsidRDefault="007A055C" w:rsidP="00672A47">
      <w:pPr>
        <w:pStyle w:val="ListBullet"/>
      </w:pPr>
      <w:proofErr w:type="gramStart"/>
      <w:r>
        <w:t>c</w:t>
      </w:r>
      <w:r w:rsidR="00672A47">
        <w:t>ontamination</w:t>
      </w:r>
      <w:proofErr w:type="gramEnd"/>
      <w:r w:rsidR="00672A47">
        <w:t xml:space="preserve"> by biological material and pathogens.</w:t>
      </w:r>
    </w:p>
    <w:p w14:paraId="160C57DF" w14:textId="0A00956D" w:rsidR="00672A47" w:rsidRDefault="00672A47" w:rsidP="00672A47">
      <w:pPr>
        <w:pStyle w:val="BodyText"/>
      </w:pPr>
      <w:r>
        <w:t>These factors manifest as pollutants in aquatic systems as:</w:t>
      </w:r>
    </w:p>
    <w:p w14:paraId="7293CD91" w14:textId="7EF03FC6" w:rsidR="00672A47" w:rsidRDefault="007A055C" w:rsidP="00672A47">
      <w:pPr>
        <w:pStyle w:val="ListBullet"/>
      </w:pPr>
      <w:r>
        <w:t>s</w:t>
      </w:r>
      <w:r w:rsidR="00672A47">
        <w:t>uspended solids or turbidity</w:t>
      </w:r>
    </w:p>
    <w:p w14:paraId="2B421F6D" w14:textId="5AC00BC4" w:rsidR="00672A47" w:rsidRDefault="007A055C" w:rsidP="00672A47">
      <w:pPr>
        <w:pStyle w:val="ListBullet"/>
      </w:pPr>
      <w:r>
        <w:t>e</w:t>
      </w:r>
      <w:r w:rsidR="00672A47">
        <w:t>utrophication, which can lead to the excessive growth of aquatic plants, including algal blooms</w:t>
      </w:r>
    </w:p>
    <w:p w14:paraId="22BC53B8" w14:textId="0037FC54" w:rsidR="00672A47" w:rsidRDefault="007A055C" w:rsidP="00672A47">
      <w:pPr>
        <w:pStyle w:val="ListBullet"/>
      </w:pPr>
      <w:r>
        <w:t>c</w:t>
      </w:r>
      <w:r w:rsidR="00672A47">
        <w:t>hemical and microbiological contamination</w:t>
      </w:r>
    </w:p>
    <w:p w14:paraId="65272EC7" w14:textId="3B304C51" w:rsidR="00672A47" w:rsidRDefault="007A055C" w:rsidP="00672A47">
      <w:pPr>
        <w:pStyle w:val="ListBullet"/>
      </w:pPr>
      <w:proofErr w:type="gramStart"/>
      <w:r>
        <w:t>s</w:t>
      </w:r>
      <w:r w:rsidR="00672A47">
        <w:t>alinity</w:t>
      </w:r>
      <w:proofErr w:type="gramEnd"/>
      <w:r w:rsidR="00672A47">
        <w:t>.</w:t>
      </w:r>
    </w:p>
    <w:p w14:paraId="094A4F15" w14:textId="77777777" w:rsidR="00C5628A" w:rsidRDefault="00C5628A" w:rsidP="006C03C9">
      <w:pPr>
        <w:pStyle w:val="BodyText"/>
      </w:pPr>
      <w:r>
        <w:t>It should be noted that the ANZECC 2000 Guidelines included changes to guidance values from the 1992 Guidelines for a number of parameters such as:</w:t>
      </w:r>
    </w:p>
    <w:p w14:paraId="02C88B82" w14:textId="7B3CB457" w:rsidR="00C5628A" w:rsidRDefault="007A055C" w:rsidP="00C5628A">
      <w:pPr>
        <w:pStyle w:val="ListBullet"/>
      </w:pPr>
      <w:r>
        <w:t>r</w:t>
      </w:r>
      <w:r w:rsidR="00C5628A">
        <w:t xml:space="preserve">eplacement of a threshold with a range, </w:t>
      </w:r>
      <w:r w:rsidR="00A119BB">
        <w:t xml:space="preserve">e.g. </w:t>
      </w:r>
      <w:r w:rsidR="00C5628A">
        <w:t>Dissolved Oxygen (DO) changed from ‘&gt;80 % saturation’ to ’85–100 % saturation’</w:t>
      </w:r>
    </w:p>
    <w:p w14:paraId="629CBA83" w14:textId="30CF2C96" w:rsidR="00C5628A" w:rsidRDefault="007A055C" w:rsidP="00C5628A">
      <w:pPr>
        <w:pStyle w:val="ListBullet"/>
      </w:pPr>
      <w:r>
        <w:t>r</w:t>
      </w:r>
      <w:r w:rsidR="00C5628A">
        <w:t xml:space="preserve">eplacement of a range with a threshold, </w:t>
      </w:r>
      <w:r w:rsidR="00A119BB">
        <w:t xml:space="preserve">e.g. </w:t>
      </w:r>
      <w:r w:rsidR="00C5628A">
        <w:t>Total Nitrogen (TN) changed from ‘0.1–0.75 mg/L’ to ‘&gt;500 </w:t>
      </w:r>
      <w:r w:rsidR="00C5628A">
        <w:rPr>
          <w:rFonts w:cs="Calibri"/>
        </w:rPr>
        <w:t>µ</w:t>
      </w:r>
      <w:r w:rsidR="00C5628A">
        <w:t>g/L’ (&gt;0.5 mg/L)</w:t>
      </w:r>
    </w:p>
    <w:p w14:paraId="31AC2DF4" w14:textId="4BF7A7CE" w:rsidR="00C5628A" w:rsidRDefault="007A055C" w:rsidP="00C5628A">
      <w:pPr>
        <w:pStyle w:val="ListBullet"/>
      </w:pPr>
      <w:proofErr w:type="gramStart"/>
      <w:r>
        <w:t>i</w:t>
      </w:r>
      <w:r w:rsidR="00C5628A">
        <w:t>nclusion</w:t>
      </w:r>
      <w:proofErr w:type="gramEnd"/>
      <w:r w:rsidR="00C5628A">
        <w:t xml:space="preserve"> of guidance values where previously none were provided, </w:t>
      </w:r>
      <w:r w:rsidR="00A119BB">
        <w:t xml:space="preserve">e.g. </w:t>
      </w:r>
      <w:r w:rsidR="00C5628A">
        <w:t>Total Petroleum Hydrocarbons (TPH).</w:t>
      </w:r>
    </w:p>
    <w:p w14:paraId="03D4AF78" w14:textId="77777777" w:rsidR="006C03C9" w:rsidRDefault="006C03C9" w:rsidP="008D74CF">
      <w:pPr>
        <w:pStyle w:val="BodyText"/>
      </w:pPr>
      <w:r>
        <w:t>The current investigation included the collection of water samples from six of the 10 sites used in the previous investigations. Four sites were not able to be sampled due to access being through private properties. Samples were analysed by a NATA-accredited laboratory and the results reviewed with reference to the Australian Water Quality Guidelines for Fresh and Marine Waters (ANZECC 2000).</w:t>
      </w:r>
    </w:p>
    <w:p w14:paraId="3C3C0C66" w14:textId="366C1DBE" w:rsidR="00CD38FA" w:rsidRDefault="00CD38FA" w:rsidP="00CD38FA">
      <w:pPr>
        <w:pStyle w:val="BodyText"/>
      </w:pPr>
      <w:r>
        <w:t>A summary of the analysis results from the current round of sampling, with reference to the ANZECC 2000 Guidelines, is provided as follows.</w:t>
      </w:r>
    </w:p>
    <w:p w14:paraId="63434262" w14:textId="080CA609" w:rsidR="009F42A4" w:rsidRDefault="009F42A4" w:rsidP="005613AC">
      <w:pPr>
        <w:pStyle w:val="Subheading"/>
      </w:pPr>
      <w:r>
        <w:t>Dissolved Oxygen (DO)</w:t>
      </w:r>
    </w:p>
    <w:p w14:paraId="099F64AE" w14:textId="086AF947" w:rsidR="009F42A4" w:rsidRDefault="009F42A4" w:rsidP="009F42A4">
      <w:pPr>
        <w:pStyle w:val="ListBullet"/>
      </w:pPr>
      <w:r>
        <w:t xml:space="preserve">Guideline range: 85-110 % saturation (1992 Guideline also </w:t>
      </w:r>
      <w:r w:rsidR="00571775">
        <w:t>provided a guidance value of &gt;6 </w:t>
      </w:r>
      <w:r>
        <w:t>mg/L)</w:t>
      </w:r>
    </w:p>
    <w:p w14:paraId="56D2F2E9" w14:textId="02AEB811" w:rsidR="009F42A4" w:rsidRDefault="009F42A4" w:rsidP="009F42A4">
      <w:pPr>
        <w:pStyle w:val="ListBullet"/>
      </w:pPr>
      <w:r>
        <w:t>Guideline range met for all sites sampled with the exception of B3 and C1 where DO was measured at 73 % saturation and 48 % saturation respectively</w:t>
      </w:r>
    </w:p>
    <w:p w14:paraId="39457DFA" w14:textId="2B23B607" w:rsidR="009F42A4" w:rsidRDefault="009F42A4" w:rsidP="009F42A4">
      <w:pPr>
        <w:pStyle w:val="ListBullet"/>
      </w:pPr>
      <w:r>
        <w:t xml:space="preserve">DO showed an improvement for Thompsons Creek and </w:t>
      </w:r>
      <w:proofErr w:type="spellStart"/>
      <w:r>
        <w:t>Duncans</w:t>
      </w:r>
      <w:proofErr w:type="spellEnd"/>
      <w:r>
        <w:t xml:space="preserve"> Creek</w:t>
      </w:r>
    </w:p>
    <w:p w14:paraId="265683D1" w14:textId="77777777" w:rsidR="009F42A4" w:rsidRDefault="009F42A4" w:rsidP="005613AC">
      <w:pPr>
        <w:pStyle w:val="Subheading"/>
      </w:pPr>
      <w:proofErr w:type="gramStart"/>
      <w:r>
        <w:t>pH</w:t>
      </w:r>
      <w:proofErr w:type="gramEnd"/>
    </w:p>
    <w:p w14:paraId="2045E471" w14:textId="77777777" w:rsidR="009F42A4" w:rsidRDefault="009F42A4" w:rsidP="009F42A4">
      <w:pPr>
        <w:pStyle w:val="ListBullet"/>
      </w:pPr>
      <w:r>
        <w:t>Guideline range: 6.5–8.0</w:t>
      </w:r>
    </w:p>
    <w:p w14:paraId="3E5FD8C5" w14:textId="6EFB68C7" w:rsidR="009F42A4" w:rsidRDefault="009F42A4" w:rsidP="009F42A4">
      <w:pPr>
        <w:pStyle w:val="ListBullet"/>
      </w:pPr>
      <w:r>
        <w:t>Within Guideline range for all sites sampled</w:t>
      </w:r>
    </w:p>
    <w:p w14:paraId="39FEB65D" w14:textId="13669AFA" w:rsidR="009F42A4" w:rsidRDefault="009F42A4" w:rsidP="009F42A4">
      <w:pPr>
        <w:pStyle w:val="ListBullet"/>
      </w:pPr>
      <w:r>
        <w:t>Generally consistent with historic results, the majority of which also fall within the current Guideline range</w:t>
      </w:r>
    </w:p>
    <w:p w14:paraId="600BB713" w14:textId="77777777" w:rsidR="009F42A4" w:rsidRDefault="009F42A4" w:rsidP="005613AC">
      <w:pPr>
        <w:pStyle w:val="Subheading"/>
      </w:pPr>
      <w:r>
        <w:t>Conductivity</w:t>
      </w:r>
    </w:p>
    <w:p w14:paraId="16EC4D90" w14:textId="77777777" w:rsidR="009F42A4" w:rsidRDefault="009F42A4" w:rsidP="009F42A4">
      <w:pPr>
        <w:pStyle w:val="ListBullet"/>
      </w:pPr>
      <w:r>
        <w:t>Guideline range: 122–2200 µS/cm</w:t>
      </w:r>
    </w:p>
    <w:p w14:paraId="026854F3" w14:textId="645B4DA5" w:rsidR="009F42A4" w:rsidRDefault="009F42A4" w:rsidP="009F42A4">
      <w:pPr>
        <w:pStyle w:val="ListBullet"/>
      </w:pPr>
      <w:r>
        <w:t>Thompsons Creek: Well above Guideline range (6790 µS/cm) but within the upper and lower limits of previous sampling</w:t>
      </w:r>
      <w:r w:rsidR="00D85485">
        <w:t xml:space="preserve"> results</w:t>
      </w:r>
    </w:p>
    <w:p w14:paraId="778F9443" w14:textId="32E67DEC" w:rsidR="009F42A4" w:rsidRDefault="009F42A4" w:rsidP="009F42A4">
      <w:pPr>
        <w:pStyle w:val="ListBullet"/>
      </w:pPr>
      <w:proofErr w:type="spellStart"/>
      <w:r>
        <w:t>Duncans</w:t>
      </w:r>
      <w:proofErr w:type="spellEnd"/>
      <w:r>
        <w:t xml:space="preserve"> Creek: Within Guideline range. With one exception, previous results are also within the current </w:t>
      </w:r>
      <w:r w:rsidR="00D85485">
        <w:t xml:space="preserve">Guideline </w:t>
      </w:r>
      <w:r>
        <w:t>range</w:t>
      </w:r>
    </w:p>
    <w:p w14:paraId="5A37D211" w14:textId="67F126F5" w:rsidR="009F42A4" w:rsidRDefault="009F42A4" w:rsidP="009F42A4">
      <w:pPr>
        <w:pStyle w:val="ListBullet"/>
      </w:pPr>
      <w:r>
        <w:t>Badgerys Creek: Above Guideline range for B1 and B2; previous results for B3 generally within current Guideline range</w:t>
      </w:r>
    </w:p>
    <w:p w14:paraId="7BA6DFC1" w14:textId="09EBBE69" w:rsidR="009F42A4" w:rsidRDefault="009F42A4" w:rsidP="009F42A4">
      <w:pPr>
        <w:pStyle w:val="ListBullet"/>
      </w:pPr>
      <w:r>
        <w:t>Cosgrove Creek: C1 above Guideline range; C3 not sampled</w:t>
      </w:r>
    </w:p>
    <w:p w14:paraId="5F2EA5D2" w14:textId="77777777" w:rsidR="009F42A4" w:rsidRDefault="009F42A4" w:rsidP="005613AC">
      <w:pPr>
        <w:pStyle w:val="Subheading"/>
      </w:pPr>
      <w:r>
        <w:t>Turbidity</w:t>
      </w:r>
    </w:p>
    <w:p w14:paraId="0126F684" w14:textId="1A353312" w:rsidR="00254799" w:rsidRDefault="00254799" w:rsidP="00254799">
      <w:pPr>
        <w:pStyle w:val="ListBullet"/>
      </w:pPr>
      <w:r>
        <w:t>Guideline range: 6–50 NTU</w:t>
      </w:r>
    </w:p>
    <w:p w14:paraId="5A601B0E" w14:textId="1EA982CD" w:rsidR="009F42A4" w:rsidRDefault="00254799" w:rsidP="009F42A4">
      <w:pPr>
        <w:pStyle w:val="ListBullet"/>
      </w:pPr>
      <w:r>
        <w:t>Within Guideline range for all sites sampled</w:t>
      </w:r>
    </w:p>
    <w:p w14:paraId="680BB096" w14:textId="77AACE23" w:rsidR="00254799" w:rsidRDefault="00254799" w:rsidP="009F42A4">
      <w:pPr>
        <w:pStyle w:val="ListBullet"/>
      </w:pPr>
      <w:r>
        <w:t>Majority of historic results also fall within current Guideline range</w:t>
      </w:r>
    </w:p>
    <w:p w14:paraId="55C7EF26" w14:textId="77777777" w:rsidR="009F42A4" w:rsidRDefault="009F42A4" w:rsidP="005613AC">
      <w:pPr>
        <w:pStyle w:val="Subheading"/>
      </w:pPr>
      <w:r>
        <w:t>Phosphorus</w:t>
      </w:r>
    </w:p>
    <w:p w14:paraId="3516DC78" w14:textId="074BCCD8" w:rsidR="009F42A4" w:rsidRDefault="00254799" w:rsidP="009F42A4">
      <w:pPr>
        <w:pStyle w:val="ListBullet"/>
      </w:pPr>
      <w:r>
        <w:t>Guideline value (Total Phosphorus, TP): 50 µg/L</w:t>
      </w:r>
    </w:p>
    <w:p w14:paraId="0882F395" w14:textId="361BE5F9" w:rsidR="00254799" w:rsidRDefault="00254799" w:rsidP="009F42A4">
      <w:pPr>
        <w:pStyle w:val="ListBullet"/>
      </w:pPr>
      <w:r>
        <w:t>Guideline value exceeded for all sites sampled</w:t>
      </w:r>
    </w:p>
    <w:p w14:paraId="6BAC843F" w14:textId="2771EC63" w:rsidR="00D85485" w:rsidRDefault="00254799" w:rsidP="009F42A4">
      <w:pPr>
        <w:pStyle w:val="ListBullet"/>
      </w:pPr>
      <w:r>
        <w:t xml:space="preserve">Historic results for Thompsons Creek and </w:t>
      </w:r>
      <w:proofErr w:type="spellStart"/>
      <w:r>
        <w:t>Duncans</w:t>
      </w:r>
      <w:proofErr w:type="spellEnd"/>
      <w:r>
        <w:t xml:space="preserve"> Creek were within the 1992 Guideline range (0.01–0.1 mg/L) and do not exceed the current Guideline value</w:t>
      </w:r>
      <w:r w:rsidR="00D85485">
        <w:t xml:space="preserve"> suggesting there may have been a land use change or a different land management activity giving rise to increased nutrient runoff</w:t>
      </w:r>
    </w:p>
    <w:p w14:paraId="722E6F0D" w14:textId="77777777" w:rsidR="009F42A4" w:rsidRDefault="009F42A4" w:rsidP="005613AC">
      <w:pPr>
        <w:pStyle w:val="Subheading"/>
      </w:pPr>
      <w:r>
        <w:t>Nitrogen</w:t>
      </w:r>
    </w:p>
    <w:p w14:paraId="1774F87E" w14:textId="20D3ECB1" w:rsidR="00D85485" w:rsidRDefault="00D85485" w:rsidP="00D85485">
      <w:pPr>
        <w:pStyle w:val="ListBullet"/>
      </w:pPr>
      <w:r>
        <w:t>Guideline value (Total Nitrogen, TN): 500 µg/L</w:t>
      </w:r>
    </w:p>
    <w:p w14:paraId="1DD65E8F" w14:textId="77777777" w:rsidR="00D85485" w:rsidRDefault="00D85485" w:rsidP="00D85485">
      <w:pPr>
        <w:pStyle w:val="ListBullet"/>
      </w:pPr>
      <w:r>
        <w:t>Guideline value exceeded for all sites sampled</w:t>
      </w:r>
    </w:p>
    <w:p w14:paraId="4914C328" w14:textId="79ECAE6D" w:rsidR="009F42A4" w:rsidRDefault="00D85485" w:rsidP="009F42A4">
      <w:pPr>
        <w:pStyle w:val="ListBullet"/>
      </w:pPr>
      <w:r>
        <w:t xml:space="preserve">Current results are consistent with previous results which generally exceeded </w:t>
      </w:r>
      <w:r w:rsidR="006245E7">
        <w:t>the 1992 Guideline range and would also exceed the current Guideline value</w:t>
      </w:r>
    </w:p>
    <w:p w14:paraId="6474438E" w14:textId="77777777" w:rsidR="009F42A4" w:rsidRDefault="009F42A4" w:rsidP="005613AC">
      <w:pPr>
        <w:pStyle w:val="Subheading"/>
      </w:pPr>
      <w:r>
        <w:t>Metals</w:t>
      </w:r>
    </w:p>
    <w:p w14:paraId="28E028C5" w14:textId="4361AAD6" w:rsidR="006245E7" w:rsidRDefault="006245E7" w:rsidP="006245E7">
      <w:pPr>
        <w:pStyle w:val="ListBullet"/>
      </w:pPr>
      <w:r>
        <w:t>Samples were tested for nickel, copper, chromium, zinc, lead, cadmium and mercury</w:t>
      </w:r>
    </w:p>
    <w:p w14:paraId="6012916B" w14:textId="48CE7A67" w:rsidR="006245E7" w:rsidRDefault="006245E7" w:rsidP="006245E7">
      <w:pPr>
        <w:pStyle w:val="ListBullet"/>
      </w:pPr>
      <w:r>
        <w:t>All results were below Guideline values</w:t>
      </w:r>
    </w:p>
    <w:p w14:paraId="714172A2" w14:textId="441D8A9E" w:rsidR="006245E7" w:rsidRDefault="006245E7" w:rsidP="006245E7">
      <w:pPr>
        <w:pStyle w:val="ListBullet"/>
      </w:pPr>
      <w:r>
        <w:t>Exceedances were observed for some historic results, principally in Thompsons Creek (copper, chromium, cadmium, mercury) but also for one sample collected from Badgerys Creek (copper)</w:t>
      </w:r>
    </w:p>
    <w:p w14:paraId="51B26516" w14:textId="77777777" w:rsidR="00C5628A" w:rsidRDefault="00C5628A" w:rsidP="005613AC">
      <w:pPr>
        <w:pStyle w:val="Subheading"/>
      </w:pPr>
      <w:r>
        <w:t>Hydrocarbons</w:t>
      </w:r>
    </w:p>
    <w:p w14:paraId="7DB94B15" w14:textId="77777777" w:rsidR="00C5628A" w:rsidRDefault="003E5D38" w:rsidP="00976C82">
      <w:pPr>
        <w:pStyle w:val="BodyText"/>
      </w:pPr>
      <w:r>
        <w:t xml:space="preserve">The ANZECC 2000 Guidelines do not provide any specific guidance </w:t>
      </w:r>
      <w:r w:rsidR="004101A4">
        <w:t>ranges or threshold values for hydrocarbons. The Guidelines note that given the large number of petroleum-derived hydrocarbons and their wide ranges of toxicities, it is difficult to derive meaningful guidelines.</w:t>
      </w:r>
    </w:p>
    <w:p w14:paraId="3323C42B" w14:textId="30467C3A" w:rsidR="003E5D38" w:rsidRDefault="003E5D38" w:rsidP="00976C82">
      <w:pPr>
        <w:pStyle w:val="BodyText"/>
      </w:pPr>
      <w:r>
        <w:t xml:space="preserve">Exceedances of investigation values </w:t>
      </w:r>
      <w:r w:rsidR="004101A4">
        <w:t xml:space="preserve">were observed for </w:t>
      </w:r>
      <w:proofErr w:type="spellStart"/>
      <w:r w:rsidR="004101A4">
        <w:t>Duncans</w:t>
      </w:r>
      <w:proofErr w:type="spellEnd"/>
      <w:r w:rsidR="004101A4">
        <w:t xml:space="preserve"> Creek and Badgerys Creek (</w:t>
      </w:r>
      <w:r w:rsidR="00C5628A">
        <w:t>B</w:t>
      </w:r>
      <w:r w:rsidR="004101A4">
        <w:t>3). The</w:t>
      </w:r>
      <w:r w:rsidR="00C5628A">
        <w:t>se</w:t>
      </w:r>
      <w:r w:rsidR="004101A4">
        <w:t xml:space="preserve"> exceedances were at</w:t>
      </w:r>
      <w:r>
        <w:t xml:space="preserve"> very low levels and could be due to </w:t>
      </w:r>
      <w:r w:rsidR="004101A4">
        <w:t xml:space="preserve">several causes. Both sample locations are in close proximity to roads and water quality may be influenced by stormwater runoff. Low levels of hydrocarbons can also occur naturally and be associated with certain types of vegetation </w:t>
      </w:r>
      <w:r w:rsidR="00C5628A">
        <w:t>(</w:t>
      </w:r>
      <w:r w:rsidR="00A119BB">
        <w:t xml:space="preserve">e.g. </w:t>
      </w:r>
      <w:r w:rsidR="00C5628A">
        <w:t>camphor laurel).</w:t>
      </w:r>
    </w:p>
    <w:p w14:paraId="78073BF3" w14:textId="7EDA2369" w:rsidR="006C03C9" w:rsidRDefault="008D74CF" w:rsidP="005613AC">
      <w:pPr>
        <w:pStyle w:val="Subheading"/>
      </w:pPr>
      <w:r>
        <w:t>Summary</w:t>
      </w:r>
    </w:p>
    <w:p w14:paraId="7D47B603" w14:textId="3E15CB3B" w:rsidR="006C03C9" w:rsidRDefault="006C03C9" w:rsidP="006C03C9">
      <w:pPr>
        <w:pStyle w:val="BodyText"/>
      </w:pPr>
      <w:r>
        <w:t xml:space="preserve">The EA assessment report noted that </w:t>
      </w:r>
      <w:r w:rsidR="008D74CF">
        <w:t xml:space="preserve">the </w:t>
      </w:r>
      <w:r>
        <w:t xml:space="preserve">water quality of the Badgerys Creek locality was poor with high levels of nutrients and suspended solids. The results from the current round of sampling are broadly consistent with this observation suggesting that there has not been any material change in aspects (such as land use) that influence water quality. </w:t>
      </w:r>
    </w:p>
    <w:p w14:paraId="6C7B04E0" w14:textId="54BD57B2" w:rsidR="006C03C9" w:rsidRDefault="006C03C9" w:rsidP="00976C82">
      <w:pPr>
        <w:pStyle w:val="BodyText"/>
      </w:pPr>
      <w:r>
        <w:t xml:space="preserve">The results of the analyses suggest there </w:t>
      </w:r>
      <w:proofErr w:type="gramStart"/>
      <w:r>
        <w:t>has not been any material changes</w:t>
      </w:r>
      <w:proofErr w:type="gramEnd"/>
      <w:r>
        <w:t xml:space="preserve"> in water quality in the intervening period. Water quality is degraded with elevated levels of nutrients (nitrogen, phosphorus). The results for metals were all below guideline values. Exceedances of investigation values for hydrocarbons were observed for </w:t>
      </w:r>
      <w:proofErr w:type="spellStart"/>
      <w:r>
        <w:t>Duncans</w:t>
      </w:r>
      <w:proofErr w:type="spellEnd"/>
      <w:r>
        <w:t xml:space="preserve"> Creek and Badgerys Creek. Both sample locations are in close proximity to roads and water quality may be influenced by stormwater runoff.</w:t>
      </w:r>
    </w:p>
    <w:p w14:paraId="4676EF53" w14:textId="7A19144E" w:rsidR="006C03C9" w:rsidRDefault="008D74CF" w:rsidP="006C03C9">
      <w:pPr>
        <w:pStyle w:val="Heading3"/>
      </w:pPr>
      <w:r>
        <w:t>Hydrology and f</w:t>
      </w:r>
      <w:r w:rsidR="006C03C9">
        <w:t>looding</w:t>
      </w:r>
    </w:p>
    <w:p w14:paraId="151201A7" w14:textId="77777777" w:rsidR="00DF125B" w:rsidRDefault="00E93282" w:rsidP="00976C82">
      <w:pPr>
        <w:pStyle w:val="BodyText"/>
      </w:pPr>
      <w:r>
        <w:t xml:space="preserve">In terms of landscape setting, the Commonwealth land at Badgerys Creek sits at or near the upper reaches of the </w:t>
      </w:r>
      <w:r w:rsidR="00AA779E">
        <w:t>three</w:t>
      </w:r>
      <w:r>
        <w:t xml:space="preserve"> subcatchments that it lies within. There is a small area of the Badgerys Creek subcatchment located upstream. Land use within this part of the </w:t>
      </w:r>
      <w:r w:rsidR="008179B0">
        <w:t>sub</w:t>
      </w:r>
      <w:r>
        <w:t>catchment is largely rural residential with lot size being in the order of two hectares.</w:t>
      </w:r>
      <w:r w:rsidR="008179B0">
        <w:t xml:space="preserve"> </w:t>
      </w:r>
      <w:r w:rsidR="00E76F52">
        <w:t xml:space="preserve">Based on a review of aerial photography recorded between 2002 and 2014, there appears to have been no material changes in land use in this part of the </w:t>
      </w:r>
      <w:r w:rsidR="008179B0">
        <w:t>sub</w:t>
      </w:r>
      <w:r w:rsidR="00E76F52">
        <w:t>catchment.</w:t>
      </w:r>
    </w:p>
    <w:p w14:paraId="55147702" w14:textId="4DFB292D" w:rsidR="00DF125B" w:rsidRDefault="00DF125B" w:rsidP="00DF125B">
      <w:pPr>
        <w:pStyle w:val="BodyText"/>
      </w:pPr>
      <w:r>
        <w:t xml:space="preserve">No hydrological modelling was undertaken as part of the current investigation to assess flooding behaviour either with the Commonwealth land or downstream. However, given that land use is generally unchanged since the previous investigation, it is unlikely that there would </w:t>
      </w:r>
      <w:r w:rsidR="00D40517">
        <w:t xml:space="preserve">have been any material changes to the </w:t>
      </w:r>
      <w:r w:rsidR="00AA779E">
        <w:t xml:space="preserve">local </w:t>
      </w:r>
      <w:r w:rsidR="00E64AE1">
        <w:t xml:space="preserve">downstream hydrological regime including flooding </w:t>
      </w:r>
      <w:r>
        <w:t>behaviour</w:t>
      </w:r>
      <w:r w:rsidR="00E64AE1">
        <w:t>.</w:t>
      </w:r>
    </w:p>
    <w:p w14:paraId="7EAAC1A9" w14:textId="4577D458" w:rsidR="00893887" w:rsidRDefault="00DF125B" w:rsidP="00976C82">
      <w:pPr>
        <w:pStyle w:val="BodyText"/>
      </w:pPr>
      <w:r>
        <w:t>G</w:t>
      </w:r>
      <w:r w:rsidR="00E93282">
        <w:t xml:space="preserve">iven the size of this part of the </w:t>
      </w:r>
      <w:r w:rsidR="008179B0">
        <w:t>sub</w:t>
      </w:r>
      <w:r w:rsidR="00E93282">
        <w:t xml:space="preserve">catchment relative to the whole </w:t>
      </w:r>
      <w:r w:rsidR="008179B0">
        <w:t>Badgerys Creek sub</w:t>
      </w:r>
      <w:r w:rsidR="00E93282">
        <w:t xml:space="preserve">catchment, it is anticipated that this area would </w:t>
      </w:r>
      <w:r w:rsidR="00D40517">
        <w:t xml:space="preserve">also </w:t>
      </w:r>
      <w:r w:rsidR="00E93282">
        <w:t xml:space="preserve">have </w:t>
      </w:r>
      <w:r w:rsidR="00D40517">
        <w:t xml:space="preserve">only </w:t>
      </w:r>
      <w:r w:rsidR="00E93282">
        <w:t>a limited influence on downstream water quality.</w:t>
      </w:r>
      <w:r>
        <w:t xml:space="preserve"> There is also a large area of the South Creek catchment upstream of the Badgerys Creek confluence that would exert a </w:t>
      </w:r>
      <w:r w:rsidR="00721F5D">
        <w:t>greater</w:t>
      </w:r>
      <w:r>
        <w:t xml:space="preserve"> influence on downstream flooding behaviour.</w:t>
      </w:r>
    </w:p>
    <w:p w14:paraId="3E06ED5C" w14:textId="77777777" w:rsidR="004354A6" w:rsidRDefault="004354A6" w:rsidP="00893887">
      <w:pPr>
        <w:pStyle w:val="Heading3"/>
      </w:pPr>
      <w:r>
        <w:t>Information gaps</w:t>
      </w:r>
    </w:p>
    <w:p w14:paraId="17F09CFB" w14:textId="14B39040" w:rsidR="00893887" w:rsidRDefault="007101C0" w:rsidP="00CD38FA">
      <w:pPr>
        <w:pStyle w:val="BodyText"/>
      </w:pPr>
      <w:r>
        <w:t>The EA assessment report recommended collection of time</w:t>
      </w:r>
      <w:r w:rsidR="00C6182C">
        <w:t>-</w:t>
      </w:r>
      <w:r>
        <w:t>series information on hydrology, hydrogeology and water quality for the Commonwealth land</w:t>
      </w:r>
      <w:r w:rsidR="002F1D03">
        <w:t xml:space="preserve"> and adjacent areas as necessary. </w:t>
      </w:r>
      <w:r w:rsidR="00893887">
        <w:t xml:space="preserve">There is still no time-series information available to inform characterisation of </w:t>
      </w:r>
      <w:r w:rsidR="00E76F52">
        <w:t xml:space="preserve">the </w:t>
      </w:r>
      <w:r w:rsidR="00893887">
        <w:t>temporal aspects of the hydrological and water quality</w:t>
      </w:r>
      <w:r w:rsidR="00E93282" w:rsidRPr="00E93282">
        <w:t xml:space="preserve"> </w:t>
      </w:r>
      <w:r w:rsidR="00E93282">
        <w:t>regimes</w:t>
      </w:r>
      <w:r w:rsidR="00587EC9">
        <w:t>. These aspects include</w:t>
      </w:r>
      <w:r w:rsidR="00893887">
        <w:t xml:space="preserve"> seasonal patterns, and the influence of antecedent (</w:t>
      </w:r>
      <w:r w:rsidR="00A119BB">
        <w:t xml:space="preserve">i.e. </w:t>
      </w:r>
      <w:r w:rsidR="00893887">
        <w:t>wet weather, dry weather) conditions.</w:t>
      </w:r>
    </w:p>
    <w:p w14:paraId="4AED2056" w14:textId="40FDFC96" w:rsidR="00893887" w:rsidRDefault="00893887" w:rsidP="00CD38FA">
      <w:pPr>
        <w:pStyle w:val="BodyText"/>
      </w:pPr>
      <w:r>
        <w:t xml:space="preserve">With regard to hydrology, this is a relatively lesser issue as there are available rainfall records that can be used to inform development of a rainfall-runoff model as was undertaken for the Supplement to the Draft EIS. However, the absence of local </w:t>
      </w:r>
      <w:proofErr w:type="spellStart"/>
      <w:r>
        <w:t>streamflow</w:t>
      </w:r>
      <w:proofErr w:type="spellEnd"/>
      <w:r>
        <w:t xml:space="preserve"> records will influence the accuracy of calibration of any such model.</w:t>
      </w:r>
    </w:p>
    <w:p w14:paraId="05FE52D2" w14:textId="05BD0F2E" w:rsidR="00893887" w:rsidRDefault="0064458A" w:rsidP="00CD38FA">
      <w:pPr>
        <w:pStyle w:val="BodyText"/>
      </w:pPr>
      <w:r>
        <w:t>Similarly</w:t>
      </w:r>
      <w:r w:rsidR="00587EC9">
        <w:t xml:space="preserve">, the absence of time-series </w:t>
      </w:r>
      <w:proofErr w:type="spellStart"/>
      <w:r w:rsidR="00587EC9">
        <w:t>streamflow</w:t>
      </w:r>
      <w:proofErr w:type="spellEnd"/>
      <w:r w:rsidR="00587EC9">
        <w:t xml:space="preserve"> </w:t>
      </w:r>
      <w:r>
        <w:t>information will constrain</w:t>
      </w:r>
      <w:r w:rsidR="00587EC9">
        <w:t xml:space="preserve"> the accurate characterisation of pollutant loads</w:t>
      </w:r>
      <w:r>
        <w:t xml:space="preserve">. This could be addressed to a degree through concurrent </w:t>
      </w:r>
      <w:proofErr w:type="spellStart"/>
      <w:r>
        <w:t>streamflow</w:t>
      </w:r>
      <w:proofErr w:type="spellEnd"/>
      <w:r>
        <w:t xml:space="preserve"> measurement and water quality sampling, however, measurements (and sampling) over a range of flows and differing antecedent conditions would be required to develop an understanding of the </w:t>
      </w:r>
      <w:r w:rsidR="00C6182C">
        <w:t xml:space="preserve">temporal </w:t>
      </w:r>
      <w:r>
        <w:t>nature of pollutant loads. Typically this information is collected over an extended time frame in the order of multiple years.</w:t>
      </w:r>
    </w:p>
    <w:p w14:paraId="30E284A3" w14:textId="05480E2A" w:rsidR="008179B0" w:rsidRDefault="005B54F0" w:rsidP="00CD38FA">
      <w:pPr>
        <w:pStyle w:val="BodyText"/>
      </w:pPr>
      <w:r>
        <w:t xml:space="preserve">While the hydrological </w:t>
      </w:r>
      <w:r w:rsidRPr="005B54F0">
        <w:t>modelling of stormwater runoff undertaken</w:t>
      </w:r>
      <w:r>
        <w:t xml:space="preserve"> for the Supplement to the Draft EIS yielded information on the behaviour of flood peaks</w:t>
      </w:r>
      <w:r w:rsidRPr="005B54F0">
        <w:t xml:space="preserve"> no hydraulic modelling was undertaken to assess two-dimensional flooding behaviour downstream.</w:t>
      </w:r>
      <w:r>
        <w:t xml:space="preserve"> The absence of this information </w:t>
      </w:r>
      <w:r w:rsidR="00C6182C">
        <w:t>limits</w:t>
      </w:r>
      <w:r>
        <w:t xml:space="preserve"> assessment of the spatial extent and impacts of flooding, and associated </w:t>
      </w:r>
      <w:r w:rsidR="00C6182C">
        <w:t xml:space="preserve">potential </w:t>
      </w:r>
      <w:r>
        <w:t>impacts on stream channels such as from scour.</w:t>
      </w:r>
    </w:p>
    <w:p w14:paraId="385401DA" w14:textId="649CDEBF" w:rsidR="00C6182C" w:rsidRDefault="00C6182C" w:rsidP="00CD38FA">
      <w:pPr>
        <w:pStyle w:val="BodyText"/>
      </w:pPr>
      <w:r>
        <w:t>Below the confluence of Cosgrove Creek with South Creek (the downstream-most point for the subcatchment</w:t>
      </w:r>
      <w:r w:rsidR="000C4E66">
        <w:t>s</w:t>
      </w:r>
      <w:r>
        <w:t xml:space="preserve"> containing the Commonwealth land), the flood regime will be influenced by the broader South Creek catchment, both upstream and downstream. In development of a hydraulic model, </w:t>
      </w:r>
      <w:r w:rsidR="000C4E66">
        <w:t>appropriate</w:t>
      </w:r>
      <w:r>
        <w:t xml:space="preserve"> consideration would need to be given to </w:t>
      </w:r>
      <w:r w:rsidR="00182143">
        <w:t xml:space="preserve">delineation of model boundaries. It is noted that hydraulic models have been developed for other areas within the South Creek catchment (such as </w:t>
      </w:r>
      <w:r w:rsidR="00182143" w:rsidRPr="00182143">
        <w:t>reported in Ribbons et al (2013)</w:t>
      </w:r>
      <w:r w:rsidR="00182143">
        <w:t>), and could potentially be of use in development of a model to assess flood</w:t>
      </w:r>
      <w:r w:rsidR="000C4E66">
        <w:t>ing</w:t>
      </w:r>
      <w:r w:rsidR="00182143">
        <w:t xml:space="preserve"> behaviour </w:t>
      </w:r>
      <w:r w:rsidR="000C4E66">
        <w:t>associated with</w:t>
      </w:r>
      <w:r w:rsidR="00182143">
        <w:t xml:space="preserve"> any development proposal for the land.</w:t>
      </w:r>
    </w:p>
    <w:p w14:paraId="0C6A757B" w14:textId="766C1C5A" w:rsidR="00CD38FA" w:rsidRDefault="00587EC9" w:rsidP="004A07E5">
      <w:pPr>
        <w:pStyle w:val="BodyText"/>
      </w:pPr>
      <w:r>
        <w:t xml:space="preserve">Technical Paper 7 included a detailed stream survey examining the </w:t>
      </w:r>
      <w:r w:rsidR="0064458A">
        <w:t>eco</w:t>
      </w:r>
      <w:r>
        <w:t xml:space="preserve">logical characteristics </w:t>
      </w:r>
      <w:r w:rsidR="0064458A">
        <w:t xml:space="preserve">of aquatic habitats. This was undertaken </w:t>
      </w:r>
      <w:r w:rsidR="00AD3DD0">
        <w:t xml:space="preserve">both </w:t>
      </w:r>
      <w:r w:rsidR="0064458A">
        <w:t xml:space="preserve">to </w:t>
      </w:r>
      <w:r w:rsidR="00AD3DD0">
        <w:t>understand baseline ecological conditions and to compensate (to a degree) for the limitations associated with the measurement of physical and chemical characteristics of water quality. The ecological investigation undertaken as part of the current study did not include survey of any aquatic habitat.</w:t>
      </w:r>
    </w:p>
    <w:p w14:paraId="6CE583AD" w14:textId="77777777" w:rsidR="004A07E5" w:rsidRDefault="004A07E5" w:rsidP="004A07E5">
      <w:pPr>
        <w:pStyle w:val="Heading2"/>
      </w:pPr>
      <w:bookmarkStart w:id="78" w:name="_Toc400720094"/>
      <w:r>
        <w:t>Recommendations</w:t>
      </w:r>
      <w:bookmarkEnd w:id="78"/>
    </w:p>
    <w:p w14:paraId="564757B6" w14:textId="4BBB8A18" w:rsidR="00AD3DD0" w:rsidRDefault="00AD3DD0" w:rsidP="003B4F1B">
      <w:pPr>
        <w:pStyle w:val="ListBullet"/>
      </w:pPr>
      <w:r>
        <w:t xml:space="preserve">While information gaps relating to hydrology and water quality have been identified, consideration should be given to the likely or potential value of this information for management of the </w:t>
      </w:r>
      <w:r w:rsidR="004F79B1">
        <w:t>Commonwealth land</w:t>
      </w:r>
      <w:r>
        <w:t xml:space="preserve"> or to any future environmental assessments.</w:t>
      </w:r>
    </w:p>
    <w:p w14:paraId="40B8BBC9" w14:textId="18C740EA" w:rsidR="008179B0" w:rsidRDefault="005B54F0" w:rsidP="005B54F0">
      <w:pPr>
        <w:pStyle w:val="ListBullet"/>
      </w:pPr>
      <w:r>
        <w:t>Previous hydrological modelling should be reviewed to assess whether there have been any material changes in environmental conditions that could have bearing on model outputs.</w:t>
      </w:r>
      <w:r w:rsidR="00B444F0">
        <w:t xml:space="preserve"> This should also include a review of modelling assumptions to confirm their validity or to guide </w:t>
      </w:r>
      <w:r w:rsidR="004B3C20">
        <w:t xml:space="preserve">any required </w:t>
      </w:r>
      <w:r w:rsidR="00B444F0">
        <w:t>revision.</w:t>
      </w:r>
    </w:p>
    <w:p w14:paraId="0A08DF9F" w14:textId="692AA53D" w:rsidR="008179B0" w:rsidRDefault="0084399C" w:rsidP="00AD3DD0">
      <w:pPr>
        <w:pStyle w:val="ListBullet"/>
      </w:pPr>
      <w:r w:rsidRPr="0084399C">
        <w:t>Any future development of the</w:t>
      </w:r>
      <w:r>
        <w:t xml:space="preserve"> land</w:t>
      </w:r>
      <w:r w:rsidRPr="0084399C">
        <w:t xml:space="preserve"> should include appropriate consultation with the NSW Office of Water to identify re</w:t>
      </w:r>
      <w:r>
        <w:t>levant issues for consideration with regard to management of flood risk both within and outside the boundaries of the Commonwealth land.</w:t>
      </w:r>
    </w:p>
    <w:p w14:paraId="22ED00ED" w14:textId="052506F3" w:rsidR="003B4F1B" w:rsidRDefault="003B4F1B" w:rsidP="00AD3DD0">
      <w:pPr>
        <w:pStyle w:val="ListBullet"/>
      </w:pPr>
      <w:r>
        <w:t xml:space="preserve">The survey design for investigation of aquatic environments (refer Section </w:t>
      </w:r>
      <w:r>
        <w:fldChar w:fldCharType="begin"/>
      </w:r>
      <w:r>
        <w:instrText xml:space="preserve"> REF _Ref401844787 \r \h </w:instrText>
      </w:r>
      <w:r>
        <w:fldChar w:fldCharType="separate"/>
      </w:r>
      <w:r w:rsidR="004E469D">
        <w:t>2.5.3</w:t>
      </w:r>
      <w:r>
        <w:fldChar w:fldCharType="end"/>
      </w:r>
      <w:r>
        <w:t>) should be developed to also generate suitable data to facilitate characterisation of water quality with regard to ecological indicators.</w:t>
      </w:r>
    </w:p>
    <w:p w14:paraId="35F05A30" w14:textId="77777777" w:rsidR="005364AB" w:rsidRDefault="005364AB" w:rsidP="004A07E5">
      <w:pPr>
        <w:pStyle w:val="BodyText"/>
      </w:pPr>
    </w:p>
    <w:p w14:paraId="14E2BD69" w14:textId="77777777" w:rsidR="000C2483" w:rsidRDefault="000C2483" w:rsidP="005364AB">
      <w:pPr>
        <w:pStyle w:val="Heading1"/>
        <w:sectPr w:rsidR="000C2483" w:rsidSect="005241F5">
          <w:type w:val="continuous"/>
          <w:pgSz w:w="11900" w:h="16840"/>
          <w:pgMar w:top="1418" w:right="1418" w:bottom="1418" w:left="1418" w:header="709" w:footer="709" w:gutter="0"/>
          <w:cols w:space="708"/>
          <w:docGrid w:linePitch="360"/>
        </w:sectPr>
      </w:pPr>
    </w:p>
    <w:p w14:paraId="60C0C272" w14:textId="2F421314" w:rsidR="005364AB" w:rsidRDefault="005364AB" w:rsidP="005364AB">
      <w:pPr>
        <w:pStyle w:val="Heading1"/>
      </w:pPr>
      <w:bookmarkStart w:id="79" w:name="_Toc400720095"/>
      <w:r>
        <w:t>Other matters</w:t>
      </w:r>
      <w:bookmarkEnd w:id="79"/>
    </w:p>
    <w:p w14:paraId="5CDE6232" w14:textId="1A8353E7" w:rsidR="00607C95" w:rsidRDefault="002B307C" w:rsidP="00607C95">
      <w:pPr>
        <w:pStyle w:val="Heading2"/>
      </w:pPr>
      <w:bookmarkStart w:id="80" w:name="_Toc400720096"/>
      <w:r>
        <w:t>Contamination</w:t>
      </w:r>
      <w:bookmarkEnd w:id="80"/>
    </w:p>
    <w:p w14:paraId="75F79735" w14:textId="78BB419B" w:rsidR="009562EC" w:rsidRDefault="009562EC" w:rsidP="005A0D4D">
      <w:pPr>
        <w:pStyle w:val="BodyText"/>
      </w:pPr>
      <w:r w:rsidRPr="009562EC">
        <w:t>Contaminated land has the potential to impact surface water and groundwater quality. The study area is characteristic of broad scale rural industries, quarrying and rural residential activities. These activities are generally considered as potentially contaminating land</w:t>
      </w:r>
      <w:r>
        <w:t xml:space="preserve"> </w:t>
      </w:r>
      <w:r w:rsidRPr="009562EC">
        <w:t xml:space="preserve">use activities and are likely to have contributed to the </w:t>
      </w:r>
      <w:r>
        <w:t xml:space="preserve">observed </w:t>
      </w:r>
      <w:r w:rsidRPr="009562EC">
        <w:t>degraded water quality</w:t>
      </w:r>
      <w:r>
        <w:t xml:space="preserve"> discussed in the previous section</w:t>
      </w:r>
      <w:r w:rsidRPr="009562EC">
        <w:t>.</w:t>
      </w:r>
    </w:p>
    <w:p w14:paraId="4F40C07F" w14:textId="3D613C4D" w:rsidR="005A0D4D" w:rsidRDefault="005A0D4D" w:rsidP="005A0D4D">
      <w:pPr>
        <w:pStyle w:val="BodyText"/>
      </w:pPr>
      <w:r>
        <w:t xml:space="preserve">Properties </w:t>
      </w:r>
      <w:r w:rsidR="009562EC">
        <w:t>in the study area with</w:t>
      </w:r>
      <w:r>
        <w:t xml:space="preserve"> </w:t>
      </w:r>
      <w:r w:rsidR="009562EC">
        <w:t xml:space="preserve">intensive </w:t>
      </w:r>
      <w:r>
        <w:t xml:space="preserve">livestock </w:t>
      </w:r>
      <w:r w:rsidR="009562EC">
        <w:t>activity</w:t>
      </w:r>
      <w:r>
        <w:t xml:space="preserve"> can impact on the surrounding environment. This is associated principally with degradation of water quality via contaminated runoff from paddocks and yards. In addition to nutrients and chemicals, runoff can also transport sediment and plant material (weeds) to receiving waterways and other sensitive areas.</w:t>
      </w:r>
    </w:p>
    <w:p w14:paraId="0225B10A" w14:textId="54D5D09B" w:rsidR="005A0D4D" w:rsidRDefault="005A0D4D" w:rsidP="005A0D4D">
      <w:pPr>
        <w:pStyle w:val="BodyText"/>
      </w:pPr>
      <w:r>
        <w:t xml:space="preserve">Irrigation practices on rural properties are very diverse. Many fruit, vegetable, dairy and pasture productions depend on irrigation. Irrigation has the potential to impact on land and water quality through the intensive use of water, nutrients, pesticides and machinery. </w:t>
      </w:r>
      <w:r w:rsidR="009562EC" w:rsidRPr="009562EC">
        <w:t>Stormwater runoff from road pavements may contain petroleum products from roads and sealed areas</w:t>
      </w:r>
      <w:r w:rsidR="00742113">
        <w:t>,</w:t>
      </w:r>
      <w:r w:rsidR="009562EC" w:rsidRPr="009562EC">
        <w:t xml:space="preserve"> </w:t>
      </w:r>
      <w:r w:rsidR="00742113">
        <w:t>while</w:t>
      </w:r>
      <w:r w:rsidR="009562EC" w:rsidRPr="009562EC">
        <w:t xml:space="preserve"> tailwater from irrigated land </w:t>
      </w:r>
      <w:r w:rsidR="00742113">
        <w:t>is</w:t>
      </w:r>
      <w:r w:rsidR="009562EC" w:rsidRPr="009562EC">
        <w:t xml:space="preserve"> likely to contain chemical pollutants that could degrade receiving water quality.</w:t>
      </w:r>
    </w:p>
    <w:p w14:paraId="7B058B7F" w14:textId="2CA8C403" w:rsidR="005A0D4D" w:rsidRDefault="005A0D4D" w:rsidP="005A0D4D">
      <w:pPr>
        <w:pStyle w:val="BodyText"/>
      </w:pPr>
      <w:r>
        <w:t xml:space="preserve">The misuse of agricultural chemicals </w:t>
      </w:r>
      <w:r w:rsidR="009562EC" w:rsidRPr="009562EC">
        <w:t>and on</w:t>
      </w:r>
      <w:r w:rsidR="009562EC">
        <w:t xml:space="preserve"> </w:t>
      </w:r>
      <w:r w:rsidR="009562EC" w:rsidRPr="009562EC">
        <w:t xml:space="preserve">site waste disposal </w:t>
      </w:r>
      <w:r>
        <w:t xml:space="preserve">can result in damage to human and animal health, including aquatic ecosystems. </w:t>
      </w:r>
      <w:proofErr w:type="spellStart"/>
      <w:r>
        <w:t>Overspraying</w:t>
      </w:r>
      <w:proofErr w:type="spellEnd"/>
      <w:r>
        <w:t xml:space="preserve"> </w:t>
      </w:r>
      <w:r w:rsidR="000C6752">
        <w:t>can result in the build</w:t>
      </w:r>
      <w:r w:rsidR="00742113">
        <w:t>-</w:t>
      </w:r>
      <w:r w:rsidR="000C6752">
        <w:t xml:space="preserve">up of pesticides in soils. </w:t>
      </w:r>
      <w:proofErr w:type="spellStart"/>
      <w:r w:rsidR="000C6752">
        <w:t>Overspraying</w:t>
      </w:r>
      <w:proofErr w:type="spellEnd"/>
      <w:r w:rsidR="000C6752">
        <w:t xml:space="preserve"> </w:t>
      </w:r>
      <w:r>
        <w:t xml:space="preserve">and spray drift can </w:t>
      </w:r>
      <w:r w:rsidR="000C6752">
        <w:t xml:space="preserve">also </w:t>
      </w:r>
      <w:r>
        <w:t xml:space="preserve">result in the transport of pesticides to water bodies, particularly drains and dams. Disposal of chemical containers is also an environmental issue characteristic of these </w:t>
      </w:r>
      <w:r w:rsidR="000C6752">
        <w:t xml:space="preserve">types of </w:t>
      </w:r>
      <w:r>
        <w:t>rural land uses.</w:t>
      </w:r>
    </w:p>
    <w:p w14:paraId="3AF57058" w14:textId="7166DCCF" w:rsidR="005A0D4D" w:rsidRDefault="00CB7092" w:rsidP="005A0D4D">
      <w:pPr>
        <w:pStyle w:val="BodyText"/>
      </w:pPr>
      <w:r>
        <w:t xml:space="preserve">Contamination of land and water can also be associated with </w:t>
      </w:r>
      <w:r w:rsidR="005A0D4D">
        <w:t xml:space="preserve">oils and other petroleum products </w:t>
      </w:r>
      <w:r>
        <w:t xml:space="preserve">deposited on roads </w:t>
      </w:r>
      <w:r w:rsidR="005A0D4D">
        <w:t>and sealed areas</w:t>
      </w:r>
      <w:r>
        <w:t xml:space="preserve">, and subsequently transport by wind or runoff onto adjacent land or into nearby waterways (as noted in Section </w:t>
      </w:r>
      <w:r w:rsidR="00A232C2">
        <w:t>5.4</w:t>
      </w:r>
      <w:r>
        <w:t xml:space="preserve"> with regard to the hydrocarbon analysis results for sites D1 and B3).</w:t>
      </w:r>
    </w:p>
    <w:p w14:paraId="675B4230" w14:textId="2787F43A" w:rsidR="00CB7092" w:rsidRDefault="00CB7092" w:rsidP="00CB7092">
      <w:pPr>
        <w:pStyle w:val="BodyText"/>
      </w:pPr>
      <w:r>
        <w:t xml:space="preserve">The National Pollutant Inventory (NPI) is a national database that tracks pollution across Australia. It contains data </w:t>
      </w:r>
      <w:r w:rsidRPr="00CB7092">
        <w:t>on 93 substances that have been identified as important due to their possible effect on human health and the environment.</w:t>
      </w:r>
      <w:r w:rsidR="009562EC">
        <w:t xml:space="preserve"> </w:t>
      </w:r>
      <w:r>
        <w:t xml:space="preserve">The Commonwealth land at Badgerys Creek does not contain any recorded NPI listings. However, there are 17 facilities listed within the Liverpool LGA. These include poultry farms, printing facilities, gas lines and bakeries, some in proximity to </w:t>
      </w:r>
      <w:r w:rsidR="000C6752">
        <w:t>the Commonwealth land.</w:t>
      </w:r>
    </w:p>
    <w:p w14:paraId="6761425E" w14:textId="77777777" w:rsidR="00D964CF" w:rsidRDefault="00607C95" w:rsidP="00607C95">
      <w:pPr>
        <w:pStyle w:val="BodyText"/>
      </w:pPr>
      <w:r>
        <w:t xml:space="preserve">During the site investigations, the historic heritage specialist was advised that the site of the former </w:t>
      </w:r>
      <w:proofErr w:type="spellStart"/>
      <w:r>
        <w:t>Anchau</w:t>
      </w:r>
      <w:proofErr w:type="spellEnd"/>
      <w:r>
        <w:t xml:space="preserve"> vineyard (1880 The Northern Road) had been used for the illegal dumping of waste material. </w:t>
      </w:r>
      <w:r w:rsidR="00D964CF">
        <w:t xml:space="preserve">This may have resulted in contamination of the land and there may also be hazardous materials present. </w:t>
      </w:r>
      <w:r>
        <w:t>In view of this, the site was not accessed for occupational health and safety reasons.</w:t>
      </w:r>
    </w:p>
    <w:p w14:paraId="71BA0827" w14:textId="2431AD15" w:rsidR="00D964CF" w:rsidRDefault="00607C95" w:rsidP="00607C95">
      <w:pPr>
        <w:pStyle w:val="BodyText"/>
      </w:pPr>
      <w:r>
        <w:t>The recommendations made in Section 3.5 include further investigation of this site</w:t>
      </w:r>
      <w:r w:rsidR="00D964CF">
        <w:t xml:space="preserve"> with regard to historic heritage values</w:t>
      </w:r>
      <w:r>
        <w:t>.</w:t>
      </w:r>
      <w:r w:rsidR="00D964CF">
        <w:t xml:space="preserve"> However, prior to any such investigation, the nature of the contamination and/or hazardous materials present should be investigated to inform appropriate management of any associated risks.</w:t>
      </w:r>
    </w:p>
    <w:p w14:paraId="3C9F3661" w14:textId="42F60918" w:rsidR="00607C95" w:rsidRDefault="00607C95" w:rsidP="005613AC">
      <w:pPr>
        <w:pStyle w:val="Subheading"/>
      </w:pPr>
      <w:r>
        <w:t>Recommendation:</w:t>
      </w:r>
    </w:p>
    <w:p w14:paraId="7065548A" w14:textId="64518C80" w:rsidR="009F239F" w:rsidRDefault="009F239F" w:rsidP="009F239F">
      <w:pPr>
        <w:pStyle w:val="ListBullet"/>
      </w:pPr>
      <w:r>
        <w:t xml:space="preserve">Based on the known agricultural land uses of the study area there is a potential for contaminated land to exist in this location. The potential areas of environmental concern and contaminants of concern can be developed by conducting a Preliminary Site Investigation (PSI) of the study area broad scale rural activity. A PSI according to the </w:t>
      </w:r>
      <w:r w:rsidRPr="009F239F">
        <w:rPr>
          <w:i/>
        </w:rPr>
        <w:t>National Environmental Protection (assessment of Site Contamination) Measure</w:t>
      </w:r>
      <w:r>
        <w:t xml:space="preserve"> (NEPM) 1999, as amended in 2013, states that a PSI will include a desktop study to collect basic site information and identify the site characteristics (site location, land use, site layout, building construction, geological and hydrogeological setting, historical land uses and activities at the site), a site inspection and interviews with current and past owners, operators and occupiers of the site and preparation of a report</w:t>
      </w:r>
    </w:p>
    <w:p w14:paraId="7A692AB0" w14:textId="330DB204" w:rsidR="009F239F" w:rsidRDefault="009F239F" w:rsidP="009F239F">
      <w:pPr>
        <w:pStyle w:val="ListBullet"/>
      </w:pPr>
      <w:r>
        <w:t>Prior to any investigation (or similar activity) at 1880 The Northern Road, a detailed site investigation should be undertaken to characterise the nature of any contamination or hazardous materials present, and to inform development of appropriate measures to effectively manage all associated risks. The detailed investigation stage as per NEPM requirements should identify the nature of the contamination and delineate its lateral and vertical extent to a sufficient degree that an appropriate level of risk assessment may be undertaken and, if necessary, provide the basis for the development of an appropriate remediation or management strategy.</w:t>
      </w:r>
    </w:p>
    <w:p w14:paraId="7C6C2FE7" w14:textId="77777777" w:rsidR="00CF35BC" w:rsidRDefault="00CF35BC" w:rsidP="00CF35BC">
      <w:pPr>
        <w:pStyle w:val="Heading2"/>
      </w:pPr>
      <w:bookmarkStart w:id="81" w:name="_Ref400542352"/>
      <w:bookmarkStart w:id="82" w:name="_Toc400720097"/>
      <w:r>
        <w:t>Landscape and natural heritage</w:t>
      </w:r>
      <w:bookmarkEnd w:id="81"/>
      <w:bookmarkEnd w:id="82"/>
    </w:p>
    <w:p w14:paraId="5D76BA43" w14:textId="64003AAF" w:rsidR="00CF35BC" w:rsidRDefault="00602E8A" w:rsidP="00CF35BC">
      <w:pPr>
        <w:pStyle w:val="BodyText"/>
      </w:pPr>
      <w:r>
        <w:t>T</w:t>
      </w:r>
      <w:r w:rsidRPr="00602E8A">
        <w:t xml:space="preserve">he Greater Blue Mountains World Heritage </w:t>
      </w:r>
      <w:proofErr w:type="gramStart"/>
      <w:r w:rsidRPr="00602E8A">
        <w:t xml:space="preserve">Area </w:t>
      </w:r>
      <w:r>
        <w:t xml:space="preserve"> </w:t>
      </w:r>
      <w:r w:rsidRPr="00602E8A">
        <w:t>was</w:t>
      </w:r>
      <w:proofErr w:type="gramEnd"/>
      <w:r w:rsidRPr="00602E8A">
        <w:t xml:space="preserve"> formally inscribed on the World Heritage List on 29 November 2000</w:t>
      </w:r>
      <w:r w:rsidR="00B235FB">
        <w:t xml:space="preserve"> and </w:t>
      </w:r>
      <w:r w:rsidR="00B235FB" w:rsidRPr="00B235FB">
        <w:t>was one of 15 World Heritage places included on the NHL on 21 May 2007. A</w:t>
      </w:r>
      <w:r w:rsidR="00B235FB">
        <w:t>ccordingly,</w:t>
      </w:r>
      <w:r w:rsidR="00B235FB" w:rsidRPr="00B235FB">
        <w:t xml:space="preserve"> the WHL listing details a</w:t>
      </w:r>
      <w:r w:rsidR="00B235FB">
        <w:t xml:space="preserve">re relevant for the NHL listing. </w:t>
      </w:r>
      <w:r w:rsidR="00CF35BC">
        <w:t>Summary details of the listing are provided in the following table.</w:t>
      </w:r>
    </w:p>
    <w:p w14:paraId="2ED4743B" w14:textId="62FE1EFD" w:rsidR="00CF35BC" w:rsidRDefault="00CF35BC" w:rsidP="00CF35BC">
      <w:pPr>
        <w:pStyle w:val="Caption"/>
        <w:ind w:left="1134" w:hanging="1134"/>
      </w:pPr>
      <w:bookmarkStart w:id="83" w:name="_Toc402442849"/>
      <w:proofErr w:type="gramStart"/>
      <w:r>
        <w:t xml:space="preserve">Table </w:t>
      </w:r>
      <w:fldSimple w:instr=" STYLEREF 1 \s ">
        <w:r w:rsidR="004E469D">
          <w:rPr>
            <w:noProof/>
          </w:rPr>
          <w:t>6</w:t>
        </w:r>
      </w:fldSimple>
      <w:r w:rsidR="00EF76BA">
        <w:t>.</w:t>
      </w:r>
      <w:proofErr w:type="gramEnd"/>
      <w:r w:rsidR="001C525C">
        <w:fldChar w:fldCharType="begin"/>
      </w:r>
      <w:r w:rsidR="001C525C">
        <w:instrText xml:space="preserve"> SEQ Table \* ARABIC \s 1 </w:instrText>
      </w:r>
      <w:r w:rsidR="001C525C">
        <w:fldChar w:fldCharType="separate"/>
      </w:r>
      <w:r w:rsidR="004E469D">
        <w:rPr>
          <w:noProof/>
        </w:rPr>
        <w:t>1</w:t>
      </w:r>
      <w:r w:rsidR="001C525C">
        <w:rPr>
          <w:noProof/>
        </w:rPr>
        <w:fldChar w:fldCharType="end"/>
      </w:r>
      <w:r>
        <w:tab/>
        <w:t>Greater Blue Mountains Area WHL/NHL listing</w:t>
      </w:r>
      <w:bookmarkEnd w:id="83"/>
    </w:p>
    <w:tbl>
      <w:tblPr>
        <w:tblStyle w:val="TableGrid"/>
        <w:tblW w:w="9280" w:type="dxa"/>
        <w:tblBorders>
          <w:bottom w:val="single" w:sz="4" w:space="0" w:color="auto"/>
        </w:tblBorders>
        <w:tblLook w:val="04A0" w:firstRow="1" w:lastRow="0" w:firstColumn="1" w:lastColumn="0" w:noHBand="0" w:noVBand="1"/>
        <w:tblCaption w:val="Table 6.1 Greater Blue Mountains Area WHL/NHL listing"/>
        <w:tblDescription w:val="Table 6.1 Greater Blue Mountains Area WHL/NHL listing"/>
      </w:tblPr>
      <w:tblGrid>
        <w:gridCol w:w="1242"/>
        <w:gridCol w:w="2127"/>
        <w:gridCol w:w="3877"/>
        <w:gridCol w:w="2034"/>
      </w:tblGrid>
      <w:tr w:rsidR="00CF35BC" w:rsidRPr="0041025C" w14:paraId="65B85A19" w14:textId="77777777" w:rsidTr="005241F5">
        <w:trPr>
          <w:trHeight w:val="340"/>
          <w:tblHeader/>
        </w:trPr>
        <w:tc>
          <w:tcPr>
            <w:tcW w:w="1242" w:type="dxa"/>
          </w:tcPr>
          <w:p w14:paraId="277BD7BF" w14:textId="77777777" w:rsidR="00CF35BC" w:rsidRPr="00E51DBC" w:rsidRDefault="00CF35BC" w:rsidP="00761BC7">
            <w:pPr>
              <w:pStyle w:val="TableHeader"/>
            </w:pPr>
            <w:r>
              <w:t>Place ID</w:t>
            </w:r>
          </w:p>
        </w:tc>
        <w:tc>
          <w:tcPr>
            <w:tcW w:w="2127" w:type="dxa"/>
          </w:tcPr>
          <w:p w14:paraId="55108BD5" w14:textId="77777777" w:rsidR="00CF35BC" w:rsidRPr="00E51DBC" w:rsidRDefault="00CF35BC" w:rsidP="00761BC7">
            <w:pPr>
              <w:pStyle w:val="TableHeader"/>
            </w:pPr>
            <w:r>
              <w:t>Name</w:t>
            </w:r>
          </w:p>
        </w:tc>
        <w:tc>
          <w:tcPr>
            <w:tcW w:w="3877" w:type="dxa"/>
          </w:tcPr>
          <w:p w14:paraId="76D15539" w14:textId="77777777" w:rsidR="00CF35BC" w:rsidRPr="00E51DBC" w:rsidRDefault="00CF35BC" w:rsidP="00761BC7">
            <w:pPr>
              <w:pStyle w:val="TableHeader"/>
            </w:pPr>
            <w:r>
              <w:t>Property Description</w:t>
            </w:r>
          </w:p>
        </w:tc>
        <w:tc>
          <w:tcPr>
            <w:tcW w:w="2034" w:type="dxa"/>
          </w:tcPr>
          <w:p w14:paraId="57BF6CA8" w14:textId="77777777" w:rsidR="00CF35BC" w:rsidRPr="00E51DBC" w:rsidRDefault="00CF35BC" w:rsidP="00761BC7">
            <w:pPr>
              <w:pStyle w:val="TableHeader"/>
            </w:pPr>
            <w:r>
              <w:t>Significance</w:t>
            </w:r>
          </w:p>
        </w:tc>
      </w:tr>
      <w:tr w:rsidR="00CF35BC" w:rsidRPr="00F06DBB" w14:paraId="06BB1058" w14:textId="77777777" w:rsidTr="00761BC7">
        <w:trPr>
          <w:trHeight w:val="340"/>
        </w:trPr>
        <w:tc>
          <w:tcPr>
            <w:tcW w:w="1242" w:type="dxa"/>
          </w:tcPr>
          <w:p w14:paraId="6C654E97" w14:textId="77777777" w:rsidR="00CF35BC" w:rsidRPr="00F06DBB" w:rsidRDefault="00CF35BC" w:rsidP="00761BC7">
            <w:pPr>
              <w:pStyle w:val="TableBody"/>
            </w:pPr>
            <w:r w:rsidRPr="00E51DBC">
              <w:t>105127</w:t>
            </w:r>
          </w:p>
        </w:tc>
        <w:tc>
          <w:tcPr>
            <w:tcW w:w="2127" w:type="dxa"/>
          </w:tcPr>
          <w:p w14:paraId="0584EB13" w14:textId="77777777" w:rsidR="00CF35BC" w:rsidRPr="00F06DBB" w:rsidRDefault="00CF35BC" w:rsidP="00761BC7">
            <w:pPr>
              <w:pStyle w:val="TableBody"/>
            </w:pPr>
            <w:r w:rsidRPr="00E51DBC">
              <w:t>The Greater Blue Mountains Area</w:t>
            </w:r>
          </w:p>
        </w:tc>
        <w:tc>
          <w:tcPr>
            <w:tcW w:w="3877" w:type="dxa"/>
          </w:tcPr>
          <w:p w14:paraId="573AE0E3" w14:textId="77777777" w:rsidR="00CF35BC" w:rsidRDefault="00CF35BC" w:rsidP="00761BC7">
            <w:pPr>
              <w:pStyle w:val="TableBody"/>
            </w:pPr>
            <w:r w:rsidRPr="00E51DBC">
              <w:t xml:space="preserve">About 1,032,649ha, located to the north and to the south of Katoomba, comprising the following eight areas: Wollemi National Park (499,879ha); The Blue Mountains National Park (247,840ha); </w:t>
            </w:r>
            <w:proofErr w:type="spellStart"/>
            <w:r w:rsidRPr="00E51DBC">
              <w:t>Yengo</w:t>
            </w:r>
            <w:proofErr w:type="spellEnd"/>
            <w:r w:rsidRPr="00E51DBC">
              <w:t xml:space="preserve"> National Park (153483ha); Nattai National Park (47,855ha); Kanangra-Boyd National Park (65,379ha); Gardens of Stone National Park (15,150ha); Jenolan Caves Karst Reserve (2,422ha); and Thirlmere Lakes National Park (641ha).</w:t>
            </w:r>
          </w:p>
        </w:tc>
        <w:tc>
          <w:tcPr>
            <w:tcW w:w="2034" w:type="dxa"/>
          </w:tcPr>
          <w:p w14:paraId="08D24C05" w14:textId="3EF42D92" w:rsidR="00CF35BC" w:rsidRDefault="00CF35BC" w:rsidP="00761BC7">
            <w:pPr>
              <w:pStyle w:val="TableBody"/>
            </w:pPr>
            <w:r>
              <w:t>World</w:t>
            </w:r>
            <w:r w:rsidR="00B235FB">
              <w:br/>
              <w:t>National</w:t>
            </w:r>
          </w:p>
        </w:tc>
      </w:tr>
    </w:tbl>
    <w:p w14:paraId="516EC01B" w14:textId="77777777" w:rsidR="00CF35BC" w:rsidRPr="00E51DBC" w:rsidRDefault="00CF35BC" w:rsidP="00CF35BC">
      <w:pPr>
        <w:pStyle w:val="BodyText"/>
      </w:pPr>
    </w:p>
    <w:p w14:paraId="20CCB83B" w14:textId="77777777" w:rsidR="00CF35BC" w:rsidRDefault="00CF35BC" w:rsidP="00CF35BC">
      <w:pPr>
        <w:pStyle w:val="BodyText"/>
      </w:pPr>
      <w:r>
        <w:t>The Greater Blue Mountains Area satisfies WHL assessment criteria: (ix) Outstanding Examples of on-going Evolution; and (x) Important Habitats for Conservation of Biological Diversity (see Appendix A for listing details).</w:t>
      </w:r>
    </w:p>
    <w:p w14:paraId="68C482E7" w14:textId="2DBFC7C5" w:rsidR="00CF35BC" w:rsidRDefault="00CF35BC" w:rsidP="00CF35BC">
      <w:pPr>
        <w:pStyle w:val="BodyText"/>
      </w:pPr>
      <w:r>
        <w:t xml:space="preserve">The Greater Blue Mountains Area is protected and managed under Part 3 Division 1 Subdivision A ‘World Heritage’ of the EPBC Act. Under Section 12, a person must not take any action that has, will have or is likely to have a significant impact on the World Heritage values of a World Heritage property unless approval has been given by the Minister under Part 9 of the Act, or if it is decided that </w:t>
      </w:r>
      <w:r w:rsidR="003F0EF2">
        <w:t>a</w:t>
      </w:r>
      <w:r>
        <w:t>pproval is not required. Actions not requiring approval are listed under Section 33 of the EPBC Act. Under Section 15(A), substantial penalties apply for taking such an action without approval.</w:t>
      </w:r>
    </w:p>
    <w:p w14:paraId="55DEBF18" w14:textId="4365BDA6" w:rsidR="00CF35BC" w:rsidRDefault="00CF35BC" w:rsidP="00CF35BC">
      <w:pPr>
        <w:pStyle w:val="BodyText"/>
      </w:pPr>
      <w:r>
        <w:t>The Greater Blue Mountains Area is managed by OEH in accordance with a bilateral agreement between the Commonwealth and the NSW Government.</w:t>
      </w:r>
      <w:r w:rsidR="00602E8A">
        <w:t xml:space="preserve"> This is facilitated through the </w:t>
      </w:r>
      <w:r w:rsidR="00602E8A" w:rsidRPr="00602E8A">
        <w:rPr>
          <w:i/>
        </w:rPr>
        <w:t>Greater Blue Mountains World Heritage Area Strategic Plan</w:t>
      </w:r>
      <w:r w:rsidR="00602E8A">
        <w:t xml:space="preserve"> (DECC 2009).</w:t>
      </w:r>
    </w:p>
    <w:p w14:paraId="5D55DA20" w14:textId="77777777" w:rsidR="00CF35BC" w:rsidRDefault="00CF35BC" w:rsidP="005613AC">
      <w:pPr>
        <w:pStyle w:val="Subheading"/>
      </w:pPr>
      <w:r>
        <w:t>Recommendation</w:t>
      </w:r>
    </w:p>
    <w:p w14:paraId="419DF8BB" w14:textId="77777777" w:rsidR="00CF35BC" w:rsidRDefault="00CF35BC" w:rsidP="00CF35BC">
      <w:pPr>
        <w:pStyle w:val="ListBullet"/>
      </w:pPr>
      <w:r>
        <w:t>Any future environmental assessment(s) associated with development of the Commonwealth land at Badgerys Creek should give appropriate consideration to potential effects on the heritage values of the Greater Blue Mountains Area.</w:t>
      </w:r>
    </w:p>
    <w:p w14:paraId="34756731" w14:textId="77777777" w:rsidR="00607C95" w:rsidRDefault="00607C95" w:rsidP="00607C95">
      <w:pPr>
        <w:pStyle w:val="BodyText"/>
      </w:pPr>
    </w:p>
    <w:p w14:paraId="1704874A" w14:textId="77777777" w:rsidR="00607C95" w:rsidRDefault="00607C95" w:rsidP="00607C95">
      <w:pPr>
        <w:pStyle w:val="Heading1"/>
        <w:sectPr w:rsidR="00607C95" w:rsidSect="009378DC">
          <w:type w:val="oddPage"/>
          <w:pgSz w:w="11900" w:h="16840"/>
          <w:pgMar w:top="1418" w:right="1418" w:bottom="1418" w:left="1418" w:header="709" w:footer="709" w:gutter="0"/>
          <w:cols w:space="708"/>
          <w:docGrid w:linePitch="360"/>
        </w:sectPr>
      </w:pPr>
    </w:p>
    <w:p w14:paraId="1E21B0E0" w14:textId="328C1407" w:rsidR="00C475E9" w:rsidRDefault="003E63F1" w:rsidP="00C475E9">
      <w:pPr>
        <w:pStyle w:val="Heading1"/>
      </w:pPr>
      <w:bookmarkStart w:id="84" w:name="_Toc400720098"/>
      <w:r>
        <w:t>Summary</w:t>
      </w:r>
      <w:r w:rsidR="00C475E9">
        <w:t xml:space="preserve"> and Recommendations</w:t>
      </w:r>
      <w:bookmarkEnd w:id="84"/>
    </w:p>
    <w:p w14:paraId="0D8B52FA" w14:textId="476ED68D" w:rsidR="00C475E9" w:rsidRDefault="003E63F1" w:rsidP="00C232F8">
      <w:pPr>
        <w:pStyle w:val="Heading2"/>
      </w:pPr>
      <w:bookmarkStart w:id="85" w:name="_Toc400720099"/>
      <w:r>
        <w:t>Summary</w:t>
      </w:r>
      <w:bookmarkEnd w:id="85"/>
    </w:p>
    <w:p w14:paraId="1F5B98E0" w14:textId="29CE0829" w:rsidR="00602E8A" w:rsidRDefault="003E63F1" w:rsidP="00BE3216">
      <w:pPr>
        <w:pStyle w:val="BodyText"/>
      </w:pPr>
      <w:r>
        <w:t>The findings of the current round of investigations are summarised as follows. This includes comments on key information gap</w:t>
      </w:r>
      <w:r w:rsidR="003F0EF2">
        <w:t>s</w:t>
      </w:r>
      <w:r>
        <w:t xml:space="preserve"> for the respective environmental aspects.</w:t>
      </w:r>
    </w:p>
    <w:p w14:paraId="256782FB" w14:textId="77777777" w:rsidR="00602E8A" w:rsidRDefault="00602E8A" w:rsidP="005613AC">
      <w:pPr>
        <w:pStyle w:val="Subheading"/>
      </w:pPr>
      <w:r>
        <w:t>Biodiversity</w:t>
      </w:r>
    </w:p>
    <w:p w14:paraId="180488EB" w14:textId="798E9C72" w:rsidR="00602E8A" w:rsidRDefault="002F2957" w:rsidP="00BE3216">
      <w:pPr>
        <w:pStyle w:val="BodyText"/>
      </w:pPr>
      <w:r>
        <w:t>The key findings of the biodiversity investigation noted the following with regard to flora:</w:t>
      </w:r>
    </w:p>
    <w:p w14:paraId="1E7F3A8C" w14:textId="77777777" w:rsidR="004F784E" w:rsidRDefault="004F784E" w:rsidP="004F784E">
      <w:pPr>
        <w:pStyle w:val="ListBullet"/>
      </w:pPr>
      <w:r>
        <w:t>EPBC Act:</w:t>
      </w:r>
    </w:p>
    <w:p w14:paraId="11F5C3EF" w14:textId="25E9B876" w:rsidR="004F784E" w:rsidRDefault="007A055C" w:rsidP="004F784E">
      <w:pPr>
        <w:pStyle w:val="ListBullet2"/>
      </w:pPr>
      <w:r>
        <w:t>t</w:t>
      </w:r>
      <w:r w:rsidR="004F784E">
        <w:t>wo endangered ecological communities occur within the Commonwealth land at Badgerys Creek (Cumberland Plain Shale Woodlands and Shale–Gravel Transition Forest, Western Sydney Dry Rainforest and Moist Woodland on Shale)</w:t>
      </w:r>
    </w:p>
    <w:p w14:paraId="1C6A6EB5" w14:textId="11F1E92B" w:rsidR="004F784E" w:rsidRDefault="007A055C" w:rsidP="004F784E">
      <w:pPr>
        <w:pStyle w:val="ListBullet2"/>
      </w:pPr>
      <w:r>
        <w:t>f</w:t>
      </w:r>
      <w:r w:rsidR="004F784E">
        <w:t xml:space="preserve">our individuals of </w:t>
      </w:r>
      <w:proofErr w:type="spellStart"/>
      <w:r w:rsidR="004F784E" w:rsidRPr="00360503">
        <w:rPr>
          <w:i/>
        </w:rPr>
        <w:t>Pultenaea</w:t>
      </w:r>
      <w:proofErr w:type="spellEnd"/>
      <w:r w:rsidR="004F784E" w:rsidRPr="00360503">
        <w:rPr>
          <w:i/>
        </w:rPr>
        <w:t xml:space="preserve"> </w:t>
      </w:r>
      <w:proofErr w:type="spellStart"/>
      <w:r w:rsidR="004F784E" w:rsidRPr="00360503">
        <w:rPr>
          <w:i/>
        </w:rPr>
        <w:t>parviflora</w:t>
      </w:r>
      <w:proofErr w:type="spellEnd"/>
      <w:r w:rsidR="004F784E">
        <w:t xml:space="preserve"> were recorded on the southern side of </w:t>
      </w:r>
      <w:proofErr w:type="spellStart"/>
      <w:r w:rsidR="004F784E">
        <w:t>Longleys</w:t>
      </w:r>
      <w:proofErr w:type="spellEnd"/>
      <w:r w:rsidR="004F784E">
        <w:t xml:space="preserve"> Road between Ferndale and Taylors Road (this is a significant reduction from the 68 individuals previously recorded along both sides of </w:t>
      </w:r>
      <w:proofErr w:type="spellStart"/>
      <w:r w:rsidR="004F784E">
        <w:t>Longleys</w:t>
      </w:r>
      <w:proofErr w:type="spellEnd"/>
      <w:r w:rsidR="004F784E">
        <w:t xml:space="preserve"> Road in this location since the 1999 Supplement to the Draft EIS)</w:t>
      </w:r>
    </w:p>
    <w:p w14:paraId="3A25E926" w14:textId="511E7FBE" w:rsidR="004F784E" w:rsidRDefault="007A055C" w:rsidP="004F784E">
      <w:pPr>
        <w:pStyle w:val="ListBullet2"/>
      </w:pPr>
      <w:r>
        <w:t>n</w:t>
      </w:r>
      <w:r w:rsidR="004F784E">
        <w:t>o other threatened flora species were recorded on site, however, potential habitat exists for a further five threatened flora species listed under the EPBC Act (</w:t>
      </w:r>
      <w:r w:rsidR="004F784E" w:rsidRPr="00AB7D75">
        <w:rPr>
          <w:i/>
        </w:rPr>
        <w:t xml:space="preserve">Acacia </w:t>
      </w:r>
      <w:proofErr w:type="spellStart"/>
      <w:r w:rsidR="004F784E" w:rsidRPr="00AB7D75">
        <w:rPr>
          <w:i/>
        </w:rPr>
        <w:t>pubescens</w:t>
      </w:r>
      <w:proofErr w:type="spellEnd"/>
      <w:r w:rsidR="004F784E" w:rsidRPr="00AB7D75">
        <w:t xml:space="preserve">, </w:t>
      </w:r>
      <w:proofErr w:type="spellStart"/>
      <w:r w:rsidR="004F784E" w:rsidRPr="00AB7D75">
        <w:rPr>
          <w:i/>
        </w:rPr>
        <w:t>Cynanchum</w:t>
      </w:r>
      <w:proofErr w:type="spellEnd"/>
      <w:r w:rsidR="004F784E" w:rsidRPr="00AB7D75">
        <w:rPr>
          <w:i/>
        </w:rPr>
        <w:t xml:space="preserve"> </w:t>
      </w:r>
      <w:proofErr w:type="spellStart"/>
      <w:r w:rsidR="004F784E" w:rsidRPr="00AB7D75">
        <w:rPr>
          <w:i/>
        </w:rPr>
        <w:t>elegans</w:t>
      </w:r>
      <w:proofErr w:type="spellEnd"/>
      <w:r w:rsidR="004F784E" w:rsidRPr="00AB7D75">
        <w:t xml:space="preserve">, </w:t>
      </w:r>
      <w:r w:rsidR="004F784E" w:rsidRPr="00AB7D75">
        <w:rPr>
          <w:i/>
        </w:rPr>
        <w:t xml:space="preserve">Grevillea </w:t>
      </w:r>
      <w:proofErr w:type="spellStart"/>
      <w:r w:rsidR="004F784E" w:rsidRPr="00AB7D75">
        <w:rPr>
          <w:i/>
        </w:rPr>
        <w:t>parviflora</w:t>
      </w:r>
      <w:proofErr w:type="spellEnd"/>
      <w:r w:rsidR="004F784E" w:rsidRPr="00AB7D75">
        <w:rPr>
          <w:i/>
        </w:rPr>
        <w:t xml:space="preserve"> </w:t>
      </w:r>
      <w:r w:rsidR="004F784E" w:rsidRPr="00454358">
        <w:t>subsp</w:t>
      </w:r>
      <w:r w:rsidR="004F784E" w:rsidRPr="00AB7D75">
        <w:rPr>
          <w:i/>
        </w:rPr>
        <w:t xml:space="preserve">. </w:t>
      </w:r>
      <w:proofErr w:type="spellStart"/>
      <w:r w:rsidR="004F784E" w:rsidRPr="00AB7D75">
        <w:rPr>
          <w:i/>
        </w:rPr>
        <w:t>parviflora</w:t>
      </w:r>
      <w:proofErr w:type="spellEnd"/>
      <w:r w:rsidR="004F784E" w:rsidRPr="00AB7D75">
        <w:t>,</w:t>
      </w:r>
      <w:r w:rsidR="004F784E" w:rsidRPr="00AB7D75">
        <w:rPr>
          <w:i/>
        </w:rPr>
        <w:t xml:space="preserve"> </w:t>
      </w:r>
      <w:proofErr w:type="spellStart"/>
      <w:r w:rsidR="004F784E" w:rsidRPr="00AB7D75">
        <w:rPr>
          <w:i/>
        </w:rPr>
        <w:t>Isotoma</w:t>
      </w:r>
      <w:proofErr w:type="spellEnd"/>
      <w:r w:rsidR="004F784E" w:rsidRPr="00AB7D75">
        <w:rPr>
          <w:i/>
        </w:rPr>
        <w:t xml:space="preserve"> </w:t>
      </w:r>
      <w:proofErr w:type="spellStart"/>
      <w:r w:rsidR="004F784E" w:rsidRPr="00AB7D75">
        <w:rPr>
          <w:i/>
        </w:rPr>
        <w:t>sessiliflora</w:t>
      </w:r>
      <w:proofErr w:type="spellEnd"/>
      <w:r w:rsidR="004F784E">
        <w:rPr>
          <w:i/>
        </w:rPr>
        <w:t xml:space="preserve">, </w:t>
      </w:r>
      <w:proofErr w:type="spellStart"/>
      <w:r w:rsidR="004F784E" w:rsidRPr="00AB7D75">
        <w:rPr>
          <w:i/>
        </w:rPr>
        <w:t>Pimelea</w:t>
      </w:r>
      <w:proofErr w:type="spellEnd"/>
      <w:r w:rsidR="004F784E" w:rsidRPr="00AB7D75">
        <w:rPr>
          <w:i/>
        </w:rPr>
        <w:t xml:space="preserve"> </w:t>
      </w:r>
      <w:proofErr w:type="spellStart"/>
      <w:r w:rsidR="004F784E" w:rsidRPr="00AB7D75">
        <w:rPr>
          <w:i/>
        </w:rPr>
        <w:t>spicata</w:t>
      </w:r>
      <w:proofErr w:type="spellEnd"/>
      <w:r w:rsidR="004F784E">
        <w:t>)</w:t>
      </w:r>
    </w:p>
    <w:p w14:paraId="5B6E3703" w14:textId="77777777" w:rsidR="004F784E" w:rsidRDefault="004F784E" w:rsidP="004F784E">
      <w:pPr>
        <w:pStyle w:val="ListBullet"/>
      </w:pPr>
      <w:r>
        <w:t>TSC Act:</w:t>
      </w:r>
    </w:p>
    <w:p w14:paraId="2E41509F" w14:textId="1233C3E6" w:rsidR="004F784E" w:rsidRDefault="007A055C" w:rsidP="004F784E">
      <w:pPr>
        <w:pStyle w:val="ListBullet2"/>
      </w:pPr>
      <w:r>
        <w:t>f</w:t>
      </w:r>
      <w:r w:rsidR="004F784E">
        <w:t xml:space="preserve">our endangered ecological community occur within the Commonwealth land at Badgerys Creek (Cumberland Plain Woodland, Shale Gravel Transition Forest, </w:t>
      </w:r>
      <w:r w:rsidR="004F784E" w:rsidRPr="00AB7D75">
        <w:t>Moist Shale Woodland</w:t>
      </w:r>
      <w:r w:rsidR="004F784E">
        <w:t>, River-flat Eucalypt Forest on Coastal Floodplains)</w:t>
      </w:r>
    </w:p>
    <w:p w14:paraId="1ABEB822" w14:textId="7AF9D565" w:rsidR="004F784E" w:rsidRDefault="007A055C" w:rsidP="004F784E">
      <w:pPr>
        <w:pStyle w:val="ListBullet2"/>
      </w:pPr>
      <w:r>
        <w:t>o</w:t>
      </w:r>
      <w:r w:rsidR="004F784E">
        <w:t xml:space="preserve">ne individual of </w:t>
      </w:r>
      <w:proofErr w:type="spellStart"/>
      <w:r w:rsidR="004F784E" w:rsidRPr="00360503">
        <w:rPr>
          <w:i/>
        </w:rPr>
        <w:t>Marsdenia</w:t>
      </w:r>
      <w:proofErr w:type="spellEnd"/>
      <w:r w:rsidR="004F784E" w:rsidRPr="00360503">
        <w:rPr>
          <w:i/>
        </w:rPr>
        <w:t xml:space="preserve"> </w:t>
      </w:r>
      <w:proofErr w:type="spellStart"/>
      <w:r w:rsidR="004F784E" w:rsidRPr="00360503">
        <w:rPr>
          <w:i/>
        </w:rPr>
        <w:t>viridiflora</w:t>
      </w:r>
      <w:proofErr w:type="spellEnd"/>
      <w:r w:rsidR="004F784E">
        <w:t xml:space="preserve"> (within the extent of the endangered population) was recorded along the eastern side of Badgerys Creek, just north of Gardiner Road</w:t>
      </w:r>
    </w:p>
    <w:p w14:paraId="21AAB80F" w14:textId="2A84C59B" w:rsidR="004F784E" w:rsidRDefault="007A055C" w:rsidP="004F784E">
      <w:pPr>
        <w:pStyle w:val="ListBullet2"/>
      </w:pPr>
      <w:r>
        <w:t>12</w:t>
      </w:r>
      <w:r w:rsidR="004F784E">
        <w:t xml:space="preserve"> new individual </w:t>
      </w:r>
      <w:proofErr w:type="spellStart"/>
      <w:r w:rsidR="004F784E" w:rsidRPr="00360503">
        <w:rPr>
          <w:i/>
        </w:rPr>
        <w:t>Marsdenia</w:t>
      </w:r>
      <w:proofErr w:type="spellEnd"/>
      <w:r w:rsidR="004F784E" w:rsidRPr="00360503">
        <w:rPr>
          <w:i/>
        </w:rPr>
        <w:t xml:space="preserve"> </w:t>
      </w:r>
      <w:proofErr w:type="spellStart"/>
      <w:r w:rsidR="004F784E" w:rsidRPr="00360503">
        <w:rPr>
          <w:i/>
        </w:rPr>
        <w:t>viridiflora</w:t>
      </w:r>
      <w:proofErr w:type="spellEnd"/>
      <w:r w:rsidR="004F784E">
        <w:t xml:space="preserve"> were recorded on the southern side of </w:t>
      </w:r>
      <w:proofErr w:type="spellStart"/>
      <w:r w:rsidR="004F784E">
        <w:t>Longleys</w:t>
      </w:r>
      <w:proofErr w:type="spellEnd"/>
      <w:r w:rsidR="004F784E">
        <w:t xml:space="preserve"> Road between Ferndale and Taylors Road</w:t>
      </w:r>
    </w:p>
    <w:p w14:paraId="2D63EAC5" w14:textId="7BBA05FD" w:rsidR="004F784E" w:rsidRDefault="007A055C" w:rsidP="004F784E">
      <w:pPr>
        <w:pStyle w:val="ListBullet2"/>
      </w:pPr>
      <w:proofErr w:type="gramStart"/>
      <w:r>
        <w:t>p</w:t>
      </w:r>
      <w:r w:rsidR="004F784E">
        <w:t>otential</w:t>
      </w:r>
      <w:proofErr w:type="gramEnd"/>
      <w:r w:rsidR="004F784E">
        <w:t xml:space="preserve"> habitat exists for an additional two species and one endangered population listed under the TSC Act (respectively </w:t>
      </w:r>
      <w:r w:rsidR="004F784E" w:rsidRPr="00AB7D75">
        <w:rPr>
          <w:i/>
        </w:rPr>
        <w:t xml:space="preserve">Dillwynia </w:t>
      </w:r>
      <w:proofErr w:type="spellStart"/>
      <w:r w:rsidR="004F784E" w:rsidRPr="00AB7D75">
        <w:rPr>
          <w:i/>
        </w:rPr>
        <w:t>tenuifolia</w:t>
      </w:r>
      <w:proofErr w:type="spellEnd"/>
      <w:r w:rsidR="004F784E" w:rsidRPr="00AB7D75">
        <w:t xml:space="preserve">, </w:t>
      </w:r>
      <w:r w:rsidR="004F784E" w:rsidRPr="00AB7D75">
        <w:rPr>
          <w:i/>
        </w:rPr>
        <w:t xml:space="preserve">Grevillea </w:t>
      </w:r>
      <w:proofErr w:type="spellStart"/>
      <w:r w:rsidR="004F784E" w:rsidRPr="00AB7D75">
        <w:rPr>
          <w:i/>
        </w:rPr>
        <w:t>juniperina</w:t>
      </w:r>
      <w:proofErr w:type="spellEnd"/>
      <w:r w:rsidR="004F784E" w:rsidRPr="00AB7D75">
        <w:rPr>
          <w:i/>
        </w:rPr>
        <w:t xml:space="preserve"> </w:t>
      </w:r>
      <w:r w:rsidR="004F784E" w:rsidRPr="00454358">
        <w:t>subsp</w:t>
      </w:r>
      <w:r w:rsidR="004F784E" w:rsidRPr="00AB7D75">
        <w:rPr>
          <w:i/>
        </w:rPr>
        <w:t xml:space="preserve">. </w:t>
      </w:r>
      <w:proofErr w:type="spellStart"/>
      <w:r w:rsidR="004F784E" w:rsidRPr="00AB7D75">
        <w:rPr>
          <w:i/>
        </w:rPr>
        <w:t>juniperina</w:t>
      </w:r>
      <w:proofErr w:type="spellEnd"/>
      <w:r w:rsidR="004F784E" w:rsidRPr="00AB7D75">
        <w:t xml:space="preserve"> and </w:t>
      </w:r>
      <w:r w:rsidR="004F784E" w:rsidRPr="00AB7D75">
        <w:rPr>
          <w:i/>
        </w:rPr>
        <w:t xml:space="preserve">Dillwynia </w:t>
      </w:r>
      <w:proofErr w:type="spellStart"/>
      <w:r w:rsidR="004F784E" w:rsidRPr="00AB7D75">
        <w:rPr>
          <w:i/>
        </w:rPr>
        <w:t>tenuifolia</w:t>
      </w:r>
      <w:proofErr w:type="spellEnd"/>
      <w:r w:rsidR="004F784E" w:rsidRPr="00AB7D75">
        <w:t xml:space="preserve"> (Kemps Creek endangered population</w:t>
      </w:r>
      <w:r w:rsidR="004F784E">
        <w:t>)).</w:t>
      </w:r>
    </w:p>
    <w:p w14:paraId="6D3260CE" w14:textId="77777777" w:rsidR="004F784E" w:rsidRDefault="004F784E" w:rsidP="004F784E">
      <w:pPr>
        <w:pStyle w:val="ListBullet"/>
      </w:pPr>
      <w:r>
        <w:t>Nine noxious weeds declared in the Liverpool LGA were observed in the study area, six of these are also Weeds of National Significance.</w:t>
      </w:r>
    </w:p>
    <w:p w14:paraId="5D313723" w14:textId="40B8A57D" w:rsidR="00761BC7" w:rsidRDefault="004F784E" w:rsidP="004F784E">
      <w:pPr>
        <w:pStyle w:val="ListBullet"/>
      </w:pPr>
      <w:r>
        <w:t>The NSW Office of Water Risk assessment guidelines for groundwater dependent ecosystems indicate that several vegetation communities that occur within the study area are likely to be ‘high probability groundwater dependent ecosystems’.</w:t>
      </w:r>
    </w:p>
    <w:p w14:paraId="49191DA6" w14:textId="1B6BEEC0" w:rsidR="00761BC7" w:rsidRDefault="00761BC7" w:rsidP="00761BC7">
      <w:pPr>
        <w:pStyle w:val="BodyText"/>
      </w:pPr>
      <w:r>
        <w:t>The key findings of the biodiversity investigation noted the following with regard to fauna:</w:t>
      </w:r>
    </w:p>
    <w:p w14:paraId="5691855F" w14:textId="665998AE" w:rsidR="00761BC7" w:rsidRDefault="00761BC7" w:rsidP="00761BC7">
      <w:pPr>
        <w:pStyle w:val="ListBullet"/>
      </w:pPr>
      <w:r>
        <w:t>The Commonwealth land contains low to moderate quality habitat, including riparian vegetation and grassy woodland vegetation.</w:t>
      </w:r>
    </w:p>
    <w:p w14:paraId="27B65FDC" w14:textId="77777777" w:rsidR="00761BC7" w:rsidRDefault="00761BC7" w:rsidP="00761BC7">
      <w:pPr>
        <w:pStyle w:val="ListBullet"/>
      </w:pPr>
      <w:r>
        <w:t>Badgerys Creek has been identified as a potential wildlife corridor in a number of local and regional planning documents.</w:t>
      </w:r>
    </w:p>
    <w:p w14:paraId="1A88464D" w14:textId="16433097" w:rsidR="00761BC7" w:rsidRDefault="00761BC7" w:rsidP="00761BC7">
      <w:pPr>
        <w:pStyle w:val="ListBullet"/>
      </w:pPr>
      <w:r>
        <w:t>Potential habitat is available for threatened fauna species including the Cumberland Land Snail, woodland birds, microchiropteran bats and the Grey-headed Flying-fox.</w:t>
      </w:r>
    </w:p>
    <w:p w14:paraId="78FDC778" w14:textId="2AABE17B" w:rsidR="00761BC7" w:rsidRPr="00A753D7" w:rsidRDefault="00761BC7" w:rsidP="00761BC7">
      <w:pPr>
        <w:pStyle w:val="ListBullet"/>
      </w:pPr>
      <w:r w:rsidRPr="00A753D7">
        <w:t>There is potential suitable habitat for seven migratory species</w:t>
      </w:r>
      <w:r>
        <w:t>:</w:t>
      </w:r>
      <w:r w:rsidRPr="00A753D7">
        <w:t xml:space="preserve"> Cattle Egret, Fork-tailed Swift, Great Egret, Latham’s Snipe, Rainbow Bee-eater, </w:t>
      </w:r>
      <w:proofErr w:type="spellStart"/>
      <w:r w:rsidRPr="00A753D7">
        <w:t>Rufous</w:t>
      </w:r>
      <w:proofErr w:type="spellEnd"/>
      <w:r w:rsidRPr="00A753D7">
        <w:t xml:space="preserve"> Fantail and White-throated </w:t>
      </w:r>
      <w:proofErr w:type="spellStart"/>
      <w:r w:rsidRPr="00A753D7">
        <w:t>Needletail</w:t>
      </w:r>
      <w:proofErr w:type="spellEnd"/>
      <w:r w:rsidRPr="00A753D7">
        <w:t>.</w:t>
      </w:r>
    </w:p>
    <w:p w14:paraId="31EF4678" w14:textId="77777777" w:rsidR="00761BC7" w:rsidRDefault="00761BC7" w:rsidP="00761BC7">
      <w:pPr>
        <w:pStyle w:val="BodyText"/>
      </w:pPr>
      <w:r>
        <w:t>There are a number of information gaps that exist due to:</w:t>
      </w:r>
    </w:p>
    <w:p w14:paraId="436F253D" w14:textId="2F069DC6" w:rsidR="00761BC7" w:rsidRDefault="007A055C" w:rsidP="00761BC7">
      <w:pPr>
        <w:pStyle w:val="ListBullet"/>
      </w:pPr>
      <w:r>
        <w:t>l</w:t>
      </w:r>
      <w:r w:rsidR="00761BC7">
        <w:t>ack of detailed knowledge of the distribution and condition of threatened species and ecological co</w:t>
      </w:r>
      <w:r>
        <w:t>mmunities</w:t>
      </w:r>
    </w:p>
    <w:p w14:paraId="19F45F1E" w14:textId="793B7A4F" w:rsidR="00761BC7" w:rsidRDefault="007A055C" w:rsidP="00761BC7">
      <w:pPr>
        <w:pStyle w:val="ListBullet"/>
      </w:pPr>
      <w:r>
        <w:t>n</w:t>
      </w:r>
      <w:r w:rsidR="00761BC7">
        <w:t>ew and improved standards for flora and fauna survey required to satisfy updated envi</w:t>
      </w:r>
      <w:r>
        <w:t>ronmental assessment techniques</w:t>
      </w:r>
    </w:p>
    <w:p w14:paraId="4EF1C017" w14:textId="170405DC" w:rsidR="00761BC7" w:rsidRDefault="007A055C" w:rsidP="00761BC7">
      <w:pPr>
        <w:pStyle w:val="ListBullet"/>
      </w:pPr>
      <w:r>
        <w:t>l</w:t>
      </w:r>
      <w:r w:rsidR="00761BC7">
        <w:t>ack of detail concerni</w:t>
      </w:r>
      <w:r>
        <w:t>ng aquatic species and habitats</w:t>
      </w:r>
    </w:p>
    <w:p w14:paraId="2B63030E" w14:textId="062AAF86" w:rsidR="00761BC7" w:rsidRDefault="007A055C" w:rsidP="00761BC7">
      <w:pPr>
        <w:pStyle w:val="ListBullet"/>
      </w:pPr>
      <w:proofErr w:type="gramStart"/>
      <w:r>
        <w:t>c</w:t>
      </w:r>
      <w:r w:rsidR="00761BC7">
        <w:t>hanges</w:t>
      </w:r>
      <w:proofErr w:type="gramEnd"/>
      <w:r w:rsidR="00761BC7">
        <w:t xml:space="preserve"> in legislative status of biodiversity.</w:t>
      </w:r>
    </w:p>
    <w:p w14:paraId="3A905BE2" w14:textId="77777777" w:rsidR="008F1D4C" w:rsidRDefault="008F1D4C" w:rsidP="008F1D4C">
      <w:pPr>
        <w:pStyle w:val="BodyText"/>
      </w:pPr>
      <w:r>
        <w:t>Results from the site s</w:t>
      </w:r>
      <w:r w:rsidRPr="00E111CA">
        <w:t>urveys undertaken in the late 1990s would not be suitable for use as part of future environmental assessment as they are now outdated.</w:t>
      </w:r>
      <w:r>
        <w:t xml:space="preserve"> In the intervening period there have been changes </w:t>
      </w:r>
      <w:r w:rsidRPr="00E111CA">
        <w:t>to Commonwealth environmental legislation</w:t>
      </w:r>
      <w:r>
        <w:t xml:space="preserve"> (most notably the introduction of the EPBC Act) </w:t>
      </w:r>
      <w:r w:rsidRPr="00E111CA">
        <w:t xml:space="preserve">and supporting regulation (such as threatened flora and fauna survey and assessment guidelines), </w:t>
      </w:r>
      <w:r>
        <w:t xml:space="preserve">and </w:t>
      </w:r>
      <w:r w:rsidRPr="00E111CA">
        <w:t>changes to the suite of listed threatened spec</w:t>
      </w:r>
      <w:r>
        <w:t xml:space="preserve">ies (both NSW and Commonwealth). </w:t>
      </w:r>
    </w:p>
    <w:p w14:paraId="52507E82" w14:textId="4F21B628" w:rsidR="008F1D4C" w:rsidRDefault="008F1D4C" w:rsidP="008F1D4C">
      <w:pPr>
        <w:pStyle w:val="BodyText"/>
      </w:pPr>
      <w:r>
        <w:t>There have also been changes in the ecological and physical condition of the land associated with the predominantly agricultural land use. This notwithstanding, p</w:t>
      </w:r>
      <w:r w:rsidRPr="00E111CA">
        <w:t xml:space="preserve">revious surveys may </w:t>
      </w:r>
      <w:r>
        <w:t xml:space="preserve">still </w:t>
      </w:r>
      <w:r w:rsidRPr="00E111CA">
        <w:t xml:space="preserve">provide useful general background </w:t>
      </w:r>
      <w:r>
        <w:t xml:space="preserve">information </w:t>
      </w:r>
      <w:r w:rsidRPr="00E111CA">
        <w:t xml:space="preserve">of site </w:t>
      </w:r>
      <w:r>
        <w:t xml:space="preserve">conditions </w:t>
      </w:r>
      <w:r w:rsidRPr="00E111CA">
        <w:t xml:space="preserve">and </w:t>
      </w:r>
      <w:r>
        <w:t xml:space="preserve">facilitate understanding of the </w:t>
      </w:r>
      <w:r w:rsidRPr="00E111CA">
        <w:t>nature of change</w:t>
      </w:r>
      <w:r>
        <w:t>s</w:t>
      </w:r>
      <w:r w:rsidRPr="00E111CA">
        <w:t xml:space="preserve"> over time.</w:t>
      </w:r>
    </w:p>
    <w:p w14:paraId="3CBFD93B" w14:textId="77777777" w:rsidR="00602E8A" w:rsidRDefault="00602E8A" w:rsidP="005613AC">
      <w:pPr>
        <w:pStyle w:val="Subheading"/>
      </w:pPr>
      <w:r>
        <w:t>Historic heritage</w:t>
      </w:r>
    </w:p>
    <w:p w14:paraId="0105540D" w14:textId="59CA454A" w:rsidR="00602E8A" w:rsidRDefault="007D5E07" w:rsidP="00BE3216">
      <w:pPr>
        <w:pStyle w:val="BodyText"/>
      </w:pPr>
      <w:r w:rsidRPr="007D5E07">
        <w:t xml:space="preserve">There are </w:t>
      </w:r>
      <w:r>
        <w:t xml:space="preserve">currently </w:t>
      </w:r>
      <w:r w:rsidR="004919F6">
        <w:t>eight</w:t>
      </w:r>
      <w:r w:rsidRPr="007D5E07">
        <w:t xml:space="preserve"> historic heritage places within the </w:t>
      </w:r>
      <w:r>
        <w:t>Commonwealth land at</w:t>
      </w:r>
      <w:r w:rsidRPr="007D5E07">
        <w:t xml:space="preserve"> Badgerys Creek</w:t>
      </w:r>
      <w:r w:rsidR="005E5A97">
        <w:t>, comprising either built heritage or an archaeological site. Specific actions have been provided with regard to future investigation to better characterise the respective heritage values and/or management of each site.</w:t>
      </w:r>
    </w:p>
    <w:p w14:paraId="3412AEF9" w14:textId="0830DC95" w:rsidR="007D5E07" w:rsidRDefault="007D5E07" w:rsidP="00BE3216">
      <w:pPr>
        <w:pStyle w:val="BodyText"/>
      </w:pPr>
      <w:r>
        <w:t xml:space="preserve">The investigation also identified other heritage items within the vicinity of the </w:t>
      </w:r>
      <w:r w:rsidR="005E5A97">
        <w:t xml:space="preserve">Commonwealth land. The majority of these are local heritage items listed under the Liverpool and Penrith </w:t>
      </w:r>
      <w:proofErr w:type="gramStart"/>
      <w:r w:rsidR="005E5A97">
        <w:t>LEPs,</w:t>
      </w:r>
      <w:proofErr w:type="gramEnd"/>
      <w:r w:rsidR="005E5A97">
        <w:t xml:space="preserve"> however two additional items were identified as having potential historic heritage values.</w:t>
      </w:r>
    </w:p>
    <w:p w14:paraId="558AFC4C" w14:textId="0D4BDCD6" w:rsidR="005E5A97" w:rsidRDefault="005E5A97" w:rsidP="00BE3216">
      <w:pPr>
        <w:pStyle w:val="BodyText"/>
      </w:pPr>
      <w:r>
        <w:t xml:space="preserve">The investigation noted a number of information gaps including a full understanding of the heritage values of the </w:t>
      </w:r>
      <w:r w:rsidR="004919F6">
        <w:t>eight</w:t>
      </w:r>
      <w:r>
        <w:t xml:space="preserve"> historic heritage places with reference to CHL criteria, incomplete understanding of the heritage values of the three identified built heritage places and options for potential retention of buildings, the research potential and heritage values of the </w:t>
      </w:r>
      <w:r w:rsidR="004919F6">
        <w:t>three</w:t>
      </w:r>
      <w:r>
        <w:t xml:space="preserve"> identified archaeological sites, and options for management of heritage values associated with the two former church sites and associated cemeteries.</w:t>
      </w:r>
    </w:p>
    <w:p w14:paraId="26FD72DE" w14:textId="073D80CF" w:rsidR="00602E8A" w:rsidRDefault="00602E8A" w:rsidP="005613AC">
      <w:pPr>
        <w:pStyle w:val="Subheading"/>
      </w:pPr>
      <w:r>
        <w:t>Aboriginal heritage</w:t>
      </w:r>
    </w:p>
    <w:p w14:paraId="44761E6F" w14:textId="69AB406F" w:rsidR="00602E8A" w:rsidRDefault="00D40517" w:rsidP="00BE3216">
      <w:pPr>
        <w:pStyle w:val="BodyText"/>
      </w:pPr>
      <w:r w:rsidRPr="00D40517">
        <w:t xml:space="preserve">Of the 21 Aboriginal heritage sites within areas of areas of moderate and high archaeological potential, only seven sites could be located and verified during the current survey. These were the two possible scarred tree sites and five stone artefact sites. Impacts recorded during the 1996 survey of the area have continued to affect the condition and visibility of the sites, and the majority of sites are now either being actively impacted by water or stock movements, or </w:t>
      </w:r>
      <w:r>
        <w:t>a</w:t>
      </w:r>
      <w:r w:rsidRPr="00D40517">
        <w:t>re overgrown and obscured by vegetation. These impacts appear to have either obscured the previously recorded artefacts, or to have removed them from the immediate location of the original site recording.</w:t>
      </w:r>
    </w:p>
    <w:p w14:paraId="594F3609" w14:textId="13063C2C" w:rsidR="00D40517" w:rsidRDefault="00D40517" w:rsidP="00BE3216">
      <w:pPr>
        <w:pStyle w:val="BodyText"/>
      </w:pPr>
      <w:r>
        <w:t xml:space="preserve">Limited information regarding descriptions and locations of all Aboriginal sites previously identified within the current study area was available due to </w:t>
      </w:r>
      <w:r w:rsidR="007D5E07">
        <w:t>the assessment documents being made public. As such, all Aboriginal site information recorded during the field investigations for the Draft EIS was obtained from AHIMS site cards held by OEH. However, this information is in many cases limited.</w:t>
      </w:r>
    </w:p>
    <w:p w14:paraId="200F9F13" w14:textId="4BDF4EDE" w:rsidR="00D40517" w:rsidRDefault="00D40517" w:rsidP="00D40517">
      <w:pPr>
        <w:pStyle w:val="BodyText"/>
      </w:pPr>
      <w:r>
        <w:t xml:space="preserve">Archaeological investigation of the Aboriginal cultural heritage of the </w:t>
      </w:r>
      <w:r w:rsidR="004F79B1">
        <w:t>Commonwealth land</w:t>
      </w:r>
      <w:r>
        <w:t xml:space="preserve"> at Badgerys Creek has not, to date, included archaeological excavations. Surface expressions of Aboriginal heritage sites reviewed during this investigation were entirely exposed through disturbance, and it is likely that substantial archaeological deposits may remain present within the study area within landforms that have not experienced significant disturbance.</w:t>
      </w:r>
    </w:p>
    <w:p w14:paraId="57178E2F" w14:textId="7C0D9D13" w:rsidR="00E00857" w:rsidRDefault="00602E8A" w:rsidP="005613AC">
      <w:pPr>
        <w:pStyle w:val="Subheading"/>
      </w:pPr>
      <w:r>
        <w:t>Hydrology and water quality</w:t>
      </w:r>
    </w:p>
    <w:p w14:paraId="73FD7815" w14:textId="77777777" w:rsidR="00E318F0" w:rsidRDefault="00E318F0" w:rsidP="00E318F0">
      <w:pPr>
        <w:pStyle w:val="BodyText"/>
      </w:pPr>
      <w:r>
        <w:t>The Environment Australia assessment report prepared in 1999 recommended collection of time-series information on hydrology, hydrogeology and water quality for the Commonwealth land and adjacent areas as necessary. There is still no time-series information available to inform characterisation of the temporal aspects of the hydrological and water quality</w:t>
      </w:r>
      <w:r w:rsidRPr="00E93282">
        <w:t xml:space="preserve"> </w:t>
      </w:r>
      <w:r>
        <w:t>regimes.</w:t>
      </w:r>
    </w:p>
    <w:p w14:paraId="5DF4ACE5" w14:textId="77777777" w:rsidR="00E318F0" w:rsidRDefault="00E318F0" w:rsidP="00E318F0">
      <w:pPr>
        <w:pStyle w:val="BodyText"/>
      </w:pPr>
      <w:r>
        <w:t>The current investigation included the collection of water samples from six of the 10 sites used in the previous investigations. Four sites were not able to be sampled due to access being through private properties. Samples were analysed by a NATA-accredited laboratory and the results reviewed with reference to the</w:t>
      </w:r>
      <w:r w:rsidRPr="00B46A5B">
        <w:rPr>
          <w:i/>
        </w:rPr>
        <w:t xml:space="preserve"> </w:t>
      </w:r>
      <w:r w:rsidRPr="004C53E8">
        <w:rPr>
          <w:i/>
        </w:rPr>
        <w:t>Australian Water Quality Guidelines for Fresh and Marine Waters</w:t>
      </w:r>
      <w:r>
        <w:t xml:space="preserve"> (ANZECC 2000).</w:t>
      </w:r>
    </w:p>
    <w:p w14:paraId="6ECAFB0A" w14:textId="1B7D6735" w:rsidR="00602E8A" w:rsidRDefault="00B46A5B" w:rsidP="00B46A5B">
      <w:pPr>
        <w:pStyle w:val="BodyText"/>
      </w:pPr>
      <w:r>
        <w:t xml:space="preserve">The results of the analyses suggest there </w:t>
      </w:r>
      <w:proofErr w:type="gramStart"/>
      <w:r>
        <w:t>has not been any material changes</w:t>
      </w:r>
      <w:proofErr w:type="gramEnd"/>
      <w:r>
        <w:t xml:space="preserve"> in water quality in the intervening period. Water quality is degraded with elevated levels of nutrients (nitrogen, phosphorus). The results for metals were all below guideline values. Exceedances of investigation values for hydrocarbons were observed for </w:t>
      </w:r>
      <w:proofErr w:type="spellStart"/>
      <w:r>
        <w:t>Duncans</w:t>
      </w:r>
      <w:proofErr w:type="spellEnd"/>
      <w:r>
        <w:t xml:space="preserve"> Creek and Badgerys Creek. Both sample locations are in close proximity to roads and water quality may be influenced by stormwater runoff.</w:t>
      </w:r>
    </w:p>
    <w:p w14:paraId="31FB5256" w14:textId="3C6F0CA6" w:rsidR="00D40517" w:rsidRDefault="00D40517" w:rsidP="00D40517">
      <w:pPr>
        <w:pStyle w:val="BodyText"/>
      </w:pPr>
      <w:r>
        <w:t>Based on a review of aerial photography recorded between 2002 and 2014, there appears to have been no material changes in land use in this part of the Badgerys Creek catchment. As such, it is unlikely that there would have been any material changes to the downstream hydrological regime. Given the size of this part of the catchment relative to the whole catchment, it is anticipated that this area would also have only a limited influence on downstream water quality.</w:t>
      </w:r>
    </w:p>
    <w:p w14:paraId="314FD811" w14:textId="09F72CDA" w:rsidR="00602E8A" w:rsidRDefault="00602E8A" w:rsidP="005613AC">
      <w:pPr>
        <w:pStyle w:val="Subheading"/>
      </w:pPr>
      <w:r>
        <w:t>Contamination</w:t>
      </w:r>
    </w:p>
    <w:p w14:paraId="07C77599" w14:textId="1B853AE5" w:rsidR="00602E8A" w:rsidRDefault="00942639" w:rsidP="00BE3216">
      <w:pPr>
        <w:pStyle w:val="BodyText"/>
      </w:pPr>
      <w:r>
        <w:t xml:space="preserve">There is potential for contamination of land and water associated with agricultural and related land use within the Commonwealth land at Badgerys Creek. While there are no NPI listings within the boundary of the Commonwealth land, there </w:t>
      </w:r>
      <w:r w:rsidRPr="00942639">
        <w:t xml:space="preserve">are 17 facilities listed within the </w:t>
      </w:r>
      <w:r>
        <w:t xml:space="preserve">wider </w:t>
      </w:r>
      <w:r w:rsidRPr="00942639">
        <w:t>Liverpool LGA</w:t>
      </w:r>
      <w:r>
        <w:t xml:space="preserve">, </w:t>
      </w:r>
      <w:r w:rsidRPr="00942639">
        <w:t>some in proximity to the Commonwealth land.</w:t>
      </w:r>
    </w:p>
    <w:p w14:paraId="5D14EAA6" w14:textId="318766ED" w:rsidR="00942639" w:rsidRDefault="00942639" w:rsidP="00942639">
      <w:pPr>
        <w:pStyle w:val="BodyText"/>
      </w:pPr>
      <w:r>
        <w:t xml:space="preserve">During the site investigations, the historic heritage specialist was advised that the site of the former </w:t>
      </w:r>
      <w:proofErr w:type="spellStart"/>
      <w:r>
        <w:t>Anchau</w:t>
      </w:r>
      <w:proofErr w:type="spellEnd"/>
      <w:r>
        <w:t xml:space="preserve"> vineyard (1880 The Northern Road) had been used for the illegal dumping of waste material. This may have resulted in contamination of the land and there may also be hazardous materials present. </w:t>
      </w:r>
    </w:p>
    <w:p w14:paraId="6A80587F" w14:textId="58CFEDE8" w:rsidR="00602E8A" w:rsidRDefault="00602E8A" w:rsidP="005613AC">
      <w:pPr>
        <w:pStyle w:val="Subheading"/>
      </w:pPr>
      <w:r>
        <w:t>Landscape and natural heritage</w:t>
      </w:r>
    </w:p>
    <w:p w14:paraId="3D5B3347" w14:textId="18410F61" w:rsidR="00602E8A" w:rsidRDefault="00A65C06" w:rsidP="00BE3216">
      <w:pPr>
        <w:pStyle w:val="BodyText"/>
      </w:pPr>
      <w:r>
        <w:t>The Commonwealth land at Badgerys Creek is in general proximity to the Greater Blue Mountains Area which is included on the World Heritage List. This is not an issue with regard to current management of the land but could be an issue for consideration for any future environmental assessment(s).</w:t>
      </w:r>
    </w:p>
    <w:p w14:paraId="1E27E994" w14:textId="7C388710" w:rsidR="00C232F8" w:rsidRDefault="00C232F8" w:rsidP="00C232F8">
      <w:pPr>
        <w:pStyle w:val="Heading2"/>
      </w:pPr>
      <w:bookmarkStart w:id="86" w:name="_Toc400720100"/>
      <w:r>
        <w:t>Recommendations</w:t>
      </w:r>
      <w:bookmarkEnd w:id="86"/>
    </w:p>
    <w:p w14:paraId="6606E200" w14:textId="77777777" w:rsidR="00307B32" w:rsidRDefault="00825A50" w:rsidP="00BE3216">
      <w:pPr>
        <w:pStyle w:val="BodyText"/>
      </w:pPr>
      <w:r w:rsidRPr="00825A50">
        <w:t xml:space="preserve">Consistent with </w:t>
      </w:r>
      <w:r>
        <w:t xml:space="preserve">current </w:t>
      </w:r>
      <w:r w:rsidRPr="00825A50">
        <w:t xml:space="preserve">best practice guidance and subject to </w:t>
      </w:r>
      <w:r>
        <w:t xml:space="preserve">the outcomes of </w:t>
      </w:r>
      <w:r w:rsidRPr="00825A50">
        <w:t xml:space="preserve">any further field investigations, future management of the Commonwealth land should consider the ‘avoid/mitigate/offset’ hierarchy </w:t>
      </w:r>
      <w:r>
        <w:t>for management of impacts</w:t>
      </w:r>
      <w:r w:rsidRPr="00825A50">
        <w:t>.</w:t>
      </w:r>
    </w:p>
    <w:p w14:paraId="285191F1" w14:textId="3118F484" w:rsidR="003F0EF2" w:rsidRDefault="00E24D9A" w:rsidP="007A055C">
      <w:pPr>
        <w:pStyle w:val="BodyText"/>
        <w:keepNext/>
      </w:pPr>
      <w:r>
        <w:t>The following is a consolidated list of the recom</w:t>
      </w:r>
      <w:r w:rsidR="00825A50">
        <w:t>mendations made in Sections 2–6 and should be considered in this context.</w:t>
      </w:r>
    </w:p>
    <w:p w14:paraId="3DB67871" w14:textId="05A2F40E" w:rsidR="00E00857" w:rsidRDefault="00E24D9A" w:rsidP="005613AC">
      <w:pPr>
        <w:pStyle w:val="Subheading"/>
      </w:pPr>
      <w:r>
        <w:t>Biodiversity</w:t>
      </w:r>
    </w:p>
    <w:p w14:paraId="566ACFBC" w14:textId="54A5DA75" w:rsidR="00DB649C" w:rsidRDefault="00DB649C" w:rsidP="00E318F0">
      <w:pPr>
        <w:pStyle w:val="BodyText"/>
        <w:keepNext/>
      </w:pPr>
      <w:r w:rsidRPr="00DB649C">
        <w:t xml:space="preserve">To the extent </w:t>
      </w:r>
      <w:r>
        <w:t xml:space="preserve">that </w:t>
      </w:r>
      <w:r w:rsidRPr="00DB649C">
        <w:t xml:space="preserve">future land use permits, and management measures are practicable and feasible, consideration should be given to implementing the </w:t>
      </w:r>
      <w:r>
        <w:t xml:space="preserve">following recommended </w:t>
      </w:r>
      <w:r w:rsidRPr="00DB649C">
        <w:t>management measures to protect and enhance existing ecological assets and value</w:t>
      </w:r>
      <w:r>
        <w:t>s:</w:t>
      </w:r>
    </w:p>
    <w:p w14:paraId="3A46B0C9" w14:textId="64145227" w:rsidR="00E24D9A" w:rsidRDefault="007A055C" w:rsidP="00E24D9A">
      <w:pPr>
        <w:pStyle w:val="ListBullet"/>
      </w:pPr>
      <w:r>
        <w:t>u</w:t>
      </w:r>
      <w:r w:rsidR="00E24D9A">
        <w:t xml:space="preserve">ndertake further assessment of remnant vegetation to accurately determine the extent of vegetation communities present, particularly the extent of Moist Shale Woodland and </w:t>
      </w:r>
      <w:r w:rsidR="00C00402">
        <w:t>Shale–Gravel</w:t>
      </w:r>
      <w:r w:rsidR="00E24D9A">
        <w:t xml:space="preserve"> Transition Forest</w:t>
      </w:r>
      <w:r>
        <w:t xml:space="preserve"> components of EPBC listed EECs</w:t>
      </w:r>
    </w:p>
    <w:p w14:paraId="44F8EF87" w14:textId="14D612A3" w:rsidR="00E24D9A" w:rsidRDefault="007A055C" w:rsidP="00E24D9A">
      <w:pPr>
        <w:pStyle w:val="ListBullet"/>
      </w:pPr>
      <w:r>
        <w:t>u</w:t>
      </w:r>
      <w:r w:rsidR="00E24D9A">
        <w:t>ndertake further field assessment to better detail the extent of EPBC Act listed vegetation as a subset of TSC Act listed vegetation in line with patch size and condition thresholds in the determination</w:t>
      </w:r>
      <w:r>
        <w:t>; s</w:t>
      </w:r>
      <w:r w:rsidR="00E24D9A">
        <w:t>urvey methods will need to be consistent with current ac</w:t>
      </w:r>
      <w:r>
        <w:t>cepted standards and guidelines</w:t>
      </w:r>
    </w:p>
    <w:p w14:paraId="1D09E616" w14:textId="0BC6D93C" w:rsidR="00E24D9A" w:rsidRDefault="007A055C" w:rsidP="00E24D9A">
      <w:pPr>
        <w:pStyle w:val="ListBullet"/>
      </w:pPr>
      <w:r>
        <w:t>u</w:t>
      </w:r>
      <w:r w:rsidR="00E24D9A">
        <w:t>ndertake targeted threatened flora and fauna survey for all species listed in Appendix 4 to the biodiversity report (Appendix A)as having a medium to high risk of occurrence would be required to bring the level of information into line with current accepted standards and guidelines</w:t>
      </w:r>
      <w:r>
        <w:t>; r</w:t>
      </w:r>
      <w:r w:rsidR="00E24D9A">
        <w:t>equirements for survey for each of the 12 flora and 33 fauna species requiring survey including duration, timing and technique are detailed in Append</w:t>
      </w:r>
      <w:r>
        <w:t>ix 4 to the biodiversity report</w:t>
      </w:r>
    </w:p>
    <w:p w14:paraId="79BA9743" w14:textId="0649E09A" w:rsidR="00DB649C" w:rsidRDefault="00DB649C" w:rsidP="007A055C">
      <w:pPr>
        <w:pStyle w:val="BodyText"/>
      </w:pPr>
      <w:r>
        <w:t>For any future development proposal(s), w</w:t>
      </w:r>
      <w:r w:rsidRPr="00DB649C">
        <w:t xml:space="preserve">here impacts are unavoidable or cannot otherwise be </w:t>
      </w:r>
      <w:r>
        <w:t xml:space="preserve">suitably </w:t>
      </w:r>
      <w:r w:rsidRPr="00DB649C">
        <w:t>mitigated through management actions, consideration should be given to potential offsetting arrangements consistent with relevant legislative and policy requirements.</w:t>
      </w:r>
    </w:p>
    <w:p w14:paraId="07D189F2" w14:textId="512F95A5" w:rsidR="00E24D9A" w:rsidRPr="00A753D7" w:rsidRDefault="00E24D9A" w:rsidP="00307B32">
      <w:pPr>
        <w:pStyle w:val="BodyText"/>
        <w:keepNext/>
      </w:pPr>
      <w:r w:rsidRPr="00A753D7">
        <w:t>The following management measures have been prepared in view of protecting and enhancing existing ecological assets and values within the</w:t>
      </w:r>
      <w:r w:rsidR="00F44D85">
        <w:t xml:space="preserve"> Commonwealth land:</w:t>
      </w:r>
    </w:p>
    <w:p w14:paraId="0CA5CE27" w14:textId="7CB543AA" w:rsidR="00E24D9A" w:rsidRDefault="007A055C" w:rsidP="00E24D9A">
      <w:pPr>
        <w:pStyle w:val="ListBullet"/>
      </w:pPr>
      <w:r>
        <w:t>p</w:t>
      </w:r>
      <w:r w:rsidR="00E24D9A">
        <w:t xml:space="preserve">rotect all moderate to good condition native vegetation in the study area with particular focus upon EPBC listed Cumberland Plain Shale Woodland and </w:t>
      </w:r>
      <w:r w:rsidR="00C00402">
        <w:t>Shale–Gravel</w:t>
      </w:r>
      <w:r w:rsidR="00E24D9A">
        <w:t xml:space="preserve"> Transition Forest and Western Sydney Dry Rainfor</w:t>
      </w:r>
      <w:r>
        <w:t>est and Moist Woodland on Shale</w:t>
      </w:r>
    </w:p>
    <w:p w14:paraId="4FE25B59" w14:textId="1DA4E3CF" w:rsidR="00E24D9A" w:rsidRDefault="007A055C" w:rsidP="00E24D9A">
      <w:pPr>
        <w:pStyle w:val="ListBullet"/>
      </w:pPr>
      <w:r>
        <w:t>p</w:t>
      </w:r>
      <w:r w:rsidR="00E24D9A">
        <w:t>rotect nectar producing trees and shrubs and revegetate/rehabilitate degraded</w:t>
      </w:r>
      <w:r>
        <w:t xml:space="preserve"> sites with appropriate species</w:t>
      </w:r>
    </w:p>
    <w:p w14:paraId="0D67B288" w14:textId="77777777" w:rsidR="007A055C" w:rsidRDefault="007A055C" w:rsidP="00E24D9A">
      <w:pPr>
        <w:pStyle w:val="ListBullet"/>
      </w:pPr>
      <w:r>
        <w:t>f</w:t>
      </w:r>
      <w:r w:rsidR="00E24D9A">
        <w:t>ence of</w:t>
      </w:r>
      <w:r w:rsidR="00E318F0">
        <w:t>f</w:t>
      </w:r>
      <w:r w:rsidR="00E24D9A">
        <w:t xml:space="preserve"> better condition remnants from grazing and protect areas where </w:t>
      </w:r>
      <w:proofErr w:type="spellStart"/>
      <w:r w:rsidR="00E24D9A" w:rsidRPr="006E4477">
        <w:rPr>
          <w:i/>
        </w:rPr>
        <w:t>Pultenaea</w:t>
      </w:r>
      <w:proofErr w:type="spellEnd"/>
      <w:r w:rsidR="00E24D9A" w:rsidRPr="006E4477">
        <w:rPr>
          <w:i/>
        </w:rPr>
        <w:t xml:space="preserve"> </w:t>
      </w:r>
      <w:proofErr w:type="spellStart"/>
      <w:r w:rsidR="00E24D9A" w:rsidRPr="006E4477">
        <w:rPr>
          <w:i/>
        </w:rPr>
        <w:t>parviflora</w:t>
      </w:r>
      <w:proofErr w:type="spellEnd"/>
      <w:r w:rsidR="00E24D9A">
        <w:t xml:space="preserve"> and </w:t>
      </w:r>
      <w:proofErr w:type="spellStart"/>
      <w:r w:rsidR="00E24D9A" w:rsidRPr="006E4477">
        <w:rPr>
          <w:i/>
        </w:rPr>
        <w:t>Marsdenia</w:t>
      </w:r>
      <w:proofErr w:type="spellEnd"/>
      <w:r w:rsidR="00E24D9A" w:rsidRPr="006E4477">
        <w:rPr>
          <w:i/>
        </w:rPr>
        <w:t xml:space="preserve"> </w:t>
      </w:r>
      <w:proofErr w:type="spellStart"/>
      <w:r w:rsidR="00E24D9A" w:rsidRPr="006E4477">
        <w:rPr>
          <w:i/>
        </w:rPr>
        <w:t>viridiflora</w:t>
      </w:r>
      <w:proofErr w:type="spellEnd"/>
      <w:r w:rsidR="00E24D9A">
        <w:t xml:space="preserve"> have been recorded</w:t>
      </w:r>
    </w:p>
    <w:p w14:paraId="39D7537A" w14:textId="6C678D58" w:rsidR="00E24D9A" w:rsidRDefault="007A055C" w:rsidP="00E24D9A">
      <w:pPr>
        <w:pStyle w:val="ListBullet"/>
      </w:pPr>
      <w:r>
        <w:t>c</w:t>
      </w:r>
      <w:r w:rsidR="00E24D9A">
        <w:t xml:space="preserve">onsider seed collection/propagation of </w:t>
      </w:r>
      <w:r w:rsidR="00E24D9A" w:rsidRPr="006E4477">
        <w:rPr>
          <w:i/>
        </w:rPr>
        <w:t>P. </w:t>
      </w:r>
      <w:proofErr w:type="spellStart"/>
      <w:r w:rsidR="00E24D9A" w:rsidRPr="006E4477">
        <w:rPr>
          <w:i/>
        </w:rPr>
        <w:t>parviflora</w:t>
      </w:r>
      <w:proofErr w:type="spellEnd"/>
      <w:r w:rsidR="00E24D9A">
        <w:t xml:space="preserve"> and </w:t>
      </w:r>
      <w:r w:rsidR="00E24D9A" w:rsidRPr="006E4477">
        <w:rPr>
          <w:i/>
        </w:rPr>
        <w:t xml:space="preserve">M. </w:t>
      </w:r>
      <w:proofErr w:type="spellStart"/>
      <w:r w:rsidR="00E24D9A" w:rsidRPr="006E4477">
        <w:rPr>
          <w:i/>
        </w:rPr>
        <w:t>viridiflora</w:t>
      </w:r>
      <w:proofErr w:type="spellEnd"/>
      <w:r w:rsidR="00E24D9A">
        <w:t xml:space="preserve"> should these populations</w:t>
      </w:r>
      <w:r>
        <w:t xml:space="preserve"> be at risk of further clearing</w:t>
      </w:r>
    </w:p>
    <w:p w14:paraId="14AA499D" w14:textId="01215C6E" w:rsidR="00E24D9A" w:rsidRDefault="007A055C" w:rsidP="00E24D9A">
      <w:pPr>
        <w:pStyle w:val="ListBullet"/>
      </w:pPr>
      <w:r>
        <w:t>e</w:t>
      </w:r>
      <w:r w:rsidR="00E24D9A">
        <w:t xml:space="preserve">nsure road maintenance and agricultural activities adjacent to </w:t>
      </w:r>
      <w:proofErr w:type="spellStart"/>
      <w:r w:rsidR="00E24D9A">
        <w:t>Longleys</w:t>
      </w:r>
      <w:proofErr w:type="spellEnd"/>
      <w:r w:rsidR="00E24D9A">
        <w:t xml:space="preserve"> Road and Badgerys Creek Road avoid known </w:t>
      </w:r>
      <w:r w:rsidR="00E24D9A" w:rsidRPr="006E4477">
        <w:rPr>
          <w:i/>
        </w:rPr>
        <w:t xml:space="preserve">P. </w:t>
      </w:r>
      <w:proofErr w:type="spellStart"/>
      <w:r w:rsidR="00E24D9A" w:rsidRPr="006E4477">
        <w:rPr>
          <w:i/>
        </w:rPr>
        <w:t>parviflora</w:t>
      </w:r>
      <w:proofErr w:type="spellEnd"/>
      <w:r w:rsidR="00E24D9A">
        <w:t xml:space="preserve"> and </w:t>
      </w:r>
      <w:r w:rsidR="00E24D9A" w:rsidRPr="006E4477">
        <w:rPr>
          <w:i/>
        </w:rPr>
        <w:t xml:space="preserve">M. </w:t>
      </w:r>
      <w:proofErr w:type="spellStart"/>
      <w:r w:rsidR="00E24D9A" w:rsidRPr="006E4477">
        <w:rPr>
          <w:i/>
        </w:rPr>
        <w:t>viridiflora</w:t>
      </w:r>
      <w:proofErr w:type="spellEnd"/>
      <w:r>
        <w:t xml:space="preserve"> populations</w:t>
      </w:r>
    </w:p>
    <w:p w14:paraId="63D6BACA" w14:textId="1B54DC74" w:rsidR="00E24D9A" w:rsidRDefault="007A055C" w:rsidP="00E24D9A">
      <w:pPr>
        <w:pStyle w:val="ListBullet"/>
      </w:pPr>
      <w:r>
        <w:t>r</w:t>
      </w:r>
      <w:r w:rsidR="00E24D9A">
        <w:t>etain mature and hollow bearing trees</w:t>
      </w:r>
      <w:r>
        <w:t xml:space="preserve"> and supplement with nest boxes</w:t>
      </w:r>
    </w:p>
    <w:p w14:paraId="3FC8BE69" w14:textId="75968244" w:rsidR="00E24D9A" w:rsidRDefault="007A055C" w:rsidP="00E24D9A">
      <w:pPr>
        <w:pStyle w:val="ListBullet"/>
      </w:pPr>
      <w:r>
        <w:t>r</w:t>
      </w:r>
      <w:r w:rsidR="00E24D9A">
        <w:t>etain habitat feature</w:t>
      </w:r>
      <w:r>
        <w:t>s including dead wood and trees</w:t>
      </w:r>
    </w:p>
    <w:p w14:paraId="133D929F" w14:textId="31A456E8" w:rsidR="00E24D9A" w:rsidRDefault="007A055C" w:rsidP="00E24D9A">
      <w:pPr>
        <w:pStyle w:val="ListBullet"/>
      </w:pPr>
      <w:r>
        <w:t>r</w:t>
      </w:r>
      <w:r w:rsidR="00E24D9A">
        <w:t>estrict use of pesticides for weed control particularly near watercourses and immediate</w:t>
      </w:r>
      <w:r>
        <w:t>ly before or during wet weather</w:t>
      </w:r>
    </w:p>
    <w:p w14:paraId="3C2E9463" w14:textId="5214004C" w:rsidR="00E24D9A" w:rsidRDefault="00E24D9A" w:rsidP="00E24D9A">
      <w:pPr>
        <w:pStyle w:val="ListBullet"/>
      </w:pPr>
      <w:r>
        <w:t>include placement of rocks and logs to e</w:t>
      </w:r>
      <w:r w:rsidR="007A055C">
        <w:t>nhance existing aquatic habitat for regeneration works in riparian areas</w:t>
      </w:r>
    </w:p>
    <w:p w14:paraId="61FF5D66" w14:textId="7938F1A0" w:rsidR="00E24D9A" w:rsidRDefault="00FF425D" w:rsidP="00E24D9A">
      <w:pPr>
        <w:pStyle w:val="ListBullet"/>
      </w:pPr>
      <w:r>
        <w:t>u</w:t>
      </w:r>
      <w:r w:rsidR="00E24D9A">
        <w:t>ndertake regeneration activities in strategic locations to impro</w:t>
      </w:r>
      <w:r>
        <w:t>ve habitat connectivity</w:t>
      </w:r>
    </w:p>
    <w:p w14:paraId="1CAEFE2E" w14:textId="08CEAC7E" w:rsidR="00E24D9A" w:rsidRDefault="00FF425D" w:rsidP="00E24D9A">
      <w:pPr>
        <w:pStyle w:val="ListBullet"/>
      </w:pPr>
      <w:r>
        <w:t>m</w:t>
      </w:r>
      <w:r w:rsidR="00E24D9A">
        <w:t>ai</w:t>
      </w:r>
      <w:r>
        <w:t>ntain native grasses in pasture</w:t>
      </w:r>
    </w:p>
    <w:p w14:paraId="0059E250" w14:textId="04DA7AC7" w:rsidR="00E24D9A" w:rsidRDefault="00FF425D" w:rsidP="00E24D9A">
      <w:pPr>
        <w:pStyle w:val="ListBullet"/>
      </w:pPr>
      <w:r>
        <w:t>u</w:t>
      </w:r>
      <w:r w:rsidR="00E24D9A">
        <w:t xml:space="preserve">ndertake weed control in accordance with the </w:t>
      </w:r>
      <w:r w:rsidR="00E24D9A" w:rsidRPr="006E4477">
        <w:rPr>
          <w:i/>
        </w:rPr>
        <w:t>Noxious Weeds Act 1993</w:t>
      </w:r>
      <w:r w:rsidR="00E24D9A">
        <w:t xml:space="preserve"> and best practice (including </w:t>
      </w:r>
      <w:r>
        <w:t>control of environmental weeds)</w:t>
      </w:r>
    </w:p>
    <w:p w14:paraId="134BC200" w14:textId="20389187" w:rsidR="00E24D9A" w:rsidRDefault="00FF425D" w:rsidP="00E24D9A">
      <w:pPr>
        <w:pStyle w:val="ListBullet"/>
      </w:pPr>
      <w:r>
        <w:t>a</w:t>
      </w:r>
      <w:r w:rsidR="00E24D9A">
        <w:t>dopt hygiene protocol standards for the control of disease in frogs and prevent introduction or spread of</w:t>
      </w:r>
      <w:r w:rsidR="00E24D9A" w:rsidRPr="006E4477">
        <w:rPr>
          <w:i/>
        </w:rPr>
        <w:t xml:space="preserve"> Phytophthora </w:t>
      </w:r>
      <w:proofErr w:type="spellStart"/>
      <w:r w:rsidR="00E24D9A" w:rsidRPr="006E4477">
        <w:rPr>
          <w:i/>
        </w:rPr>
        <w:t>cinnamomi</w:t>
      </w:r>
      <w:proofErr w:type="spellEnd"/>
      <w:r>
        <w:t xml:space="preserve"> and Myrtle Rust</w:t>
      </w:r>
    </w:p>
    <w:p w14:paraId="5C5E308C" w14:textId="0AD9F2F4" w:rsidR="00E24D9A" w:rsidRDefault="00FF425D" w:rsidP="00E24D9A">
      <w:pPr>
        <w:pStyle w:val="ListBullet"/>
      </w:pPr>
      <w:r>
        <w:t>i</w:t>
      </w:r>
      <w:r w:rsidR="00E24D9A">
        <w:t>mplement pest manageme</w:t>
      </w:r>
      <w:r>
        <w:t>nt control for vertebrate pests</w:t>
      </w:r>
    </w:p>
    <w:p w14:paraId="24795C0F" w14:textId="10BA57DE" w:rsidR="00E24D9A" w:rsidRDefault="00FF425D" w:rsidP="00E24D9A">
      <w:pPr>
        <w:pStyle w:val="ListBullet"/>
      </w:pPr>
      <w:r>
        <w:t>i</w:t>
      </w:r>
      <w:r w:rsidR="00E24D9A">
        <w:t>mplement controls to prevent pollution of local waterways and manage riparian and in-stream fish habitat, including restricting access</w:t>
      </w:r>
      <w:r>
        <w:t xml:space="preserve"> of livestock to riparian areas</w:t>
      </w:r>
    </w:p>
    <w:p w14:paraId="5ECD7866" w14:textId="34F821CA" w:rsidR="00E24D9A" w:rsidRDefault="00FF425D" w:rsidP="00E24D9A">
      <w:pPr>
        <w:pStyle w:val="ListBullet"/>
      </w:pPr>
      <w:r>
        <w:t>c</w:t>
      </w:r>
      <w:r w:rsidR="00E24D9A">
        <w:t>ontrol sediment at the</w:t>
      </w:r>
      <w:r>
        <w:t xml:space="preserve"> catchment and local site scale</w:t>
      </w:r>
    </w:p>
    <w:p w14:paraId="0B90CFCD" w14:textId="5A7693F0" w:rsidR="00E24D9A" w:rsidRDefault="00FF425D" w:rsidP="00E24D9A">
      <w:pPr>
        <w:pStyle w:val="ListBullet"/>
      </w:pPr>
      <w:r>
        <w:t>i</w:t>
      </w:r>
      <w:r w:rsidR="00E24D9A">
        <w:t>dentify and manage point a</w:t>
      </w:r>
      <w:r>
        <w:t>nd diffuse sources of pollution</w:t>
      </w:r>
    </w:p>
    <w:p w14:paraId="4D80B0C8" w14:textId="4D486470" w:rsidR="00E24D9A" w:rsidRDefault="00FF425D" w:rsidP="00E24D9A">
      <w:pPr>
        <w:pStyle w:val="ListBullet"/>
      </w:pPr>
      <w:r>
        <w:t>include l</w:t>
      </w:r>
      <w:r w:rsidR="00E24D9A">
        <w:t>and management standards, including management measures to support biodiversity as outlined above, s as</w:t>
      </w:r>
      <w:r>
        <w:t xml:space="preserve"> part of new tenancy agreements</w:t>
      </w:r>
    </w:p>
    <w:p w14:paraId="3E5A7EFB" w14:textId="065FA21A" w:rsidR="00E24D9A" w:rsidRDefault="00FF425D" w:rsidP="00F44D85">
      <w:pPr>
        <w:pStyle w:val="ListBullet"/>
      </w:pPr>
      <w:proofErr w:type="gramStart"/>
      <w:r>
        <w:t>prepare</w:t>
      </w:r>
      <w:proofErr w:type="gramEnd"/>
      <w:r>
        <w:t xml:space="preserve"> m</w:t>
      </w:r>
      <w:r w:rsidR="00F44D85">
        <w:t>anagement measures for any future development within the Commonwealth land as part of</w:t>
      </w:r>
      <w:r w:rsidR="00F44D85" w:rsidRPr="006E4477">
        <w:t xml:space="preserve"> </w:t>
      </w:r>
      <w:r w:rsidR="00F44D85">
        <w:t>the associated</w:t>
      </w:r>
      <w:r w:rsidR="00F44D85" w:rsidRPr="006E4477">
        <w:t xml:space="preserve"> environmental assessment</w:t>
      </w:r>
      <w:r w:rsidR="00F44D85">
        <w:t>(s).</w:t>
      </w:r>
    </w:p>
    <w:p w14:paraId="7821A339" w14:textId="510B0894" w:rsidR="00825A50" w:rsidRDefault="00DB649C" w:rsidP="00E24D9A">
      <w:pPr>
        <w:pStyle w:val="BodyText"/>
      </w:pPr>
      <w:r>
        <w:t>T</w:t>
      </w:r>
      <w:r w:rsidR="00825A50">
        <w:t>he above recommendations</w:t>
      </w:r>
      <w:r>
        <w:t xml:space="preserve"> do not necessarily provide for future </w:t>
      </w:r>
      <w:r w:rsidR="00825A50" w:rsidRPr="00825A50">
        <w:t xml:space="preserve">development within the </w:t>
      </w:r>
      <w:r>
        <w:t>Commonwealth land</w:t>
      </w:r>
      <w:r w:rsidR="00825A50" w:rsidRPr="00825A50">
        <w:t>.</w:t>
      </w:r>
      <w:r>
        <w:t xml:space="preserve"> Any such development proposal should include development of </w:t>
      </w:r>
      <w:r w:rsidR="00825A50" w:rsidRPr="00825A50">
        <w:t xml:space="preserve">appropriate management measures of </w:t>
      </w:r>
      <w:r>
        <w:t>the</w:t>
      </w:r>
      <w:r w:rsidR="00825A50" w:rsidRPr="00825A50">
        <w:t xml:space="preserve"> environmental assessment.</w:t>
      </w:r>
    </w:p>
    <w:p w14:paraId="4D19BE9B" w14:textId="77777777" w:rsidR="00E24D9A" w:rsidRDefault="00E24D9A" w:rsidP="00E24D9A">
      <w:pPr>
        <w:pStyle w:val="BodyText"/>
      </w:pPr>
      <w:r w:rsidRPr="002A372B">
        <w:t>The following sur</w:t>
      </w:r>
      <w:r>
        <w:t xml:space="preserve">vey activities are recommended </w:t>
      </w:r>
      <w:r w:rsidRPr="002A372B">
        <w:t>to adequately describe the biodiversity values of the study area as part of any future environmental assessment</w:t>
      </w:r>
      <w:r>
        <w:t>(s)</w:t>
      </w:r>
      <w:r w:rsidRPr="002A372B">
        <w:t>:</w:t>
      </w:r>
    </w:p>
    <w:p w14:paraId="6FB211E7" w14:textId="1C90476A" w:rsidR="00E24D9A" w:rsidRDefault="00E24D9A" w:rsidP="00E24D9A">
      <w:pPr>
        <w:pStyle w:val="ListBullet"/>
      </w:pPr>
      <w:r w:rsidRPr="00665184">
        <w:t xml:space="preserve">Detailed vegetation community and condition mapping </w:t>
      </w:r>
      <w:r>
        <w:t>should be undertaken for the Commonwealth land at Badgerys Creek</w:t>
      </w:r>
      <w:r w:rsidRPr="00665184">
        <w:t>. This would involve additional site stratification and vegetation sampling using plot surveys, including full floristics, to supplement the rapid plot assessment undertaken by SMEC in 2014. This additional plot survey would be used to inform preparation of detailed vegetation community and condition mapping.</w:t>
      </w:r>
    </w:p>
    <w:p w14:paraId="109DD36F" w14:textId="77777777" w:rsidR="005241F5" w:rsidRDefault="005241F5" w:rsidP="005241F5">
      <w:pPr>
        <w:pStyle w:val="ListBullet"/>
      </w:pPr>
      <w:r>
        <w:t>Undertake t</w:t>
      </w:r>
      <w:r w:rsidRPr="00665184">
        <w:t xml:space="preserve">argeted threatened flora survey for </w:t>
      </w:r>
      <w:r>
        <w:t xml:space="preserve">the following </w:t>
      </w:r>
      <w:r w:rsidRPr="00665184">
        <w:t>threatened flora species</w:t>
      </w:r>
      <w:r>
        <w:t>/ populations</w:t>
      </w:r>
      <w:r w:rsidRPr="00665184">
        <w:t xml:space="preserve"> in areas of potential habitat in the study area during the appropriate flowering season</w:t>
      </w:r>
      <w:r>
        <w:t>:</w:t>
      </w:r>
    </w:p>
    <w:p w14:paraId="11C50113" w14:textId="77777777" w:rsidR="005241F5" w:rsidRDefault="005241F5" w:rsidP="005241F5">
      <w:pPr>
        <w:pStyle w:val="ListBullet2"/>
      </w:pPr>
      <w:r w:rsidRPr="00EF5494">
        <w:rPr>
          <w:i/>
        </w:rPr>
        <w:t xml:space="preserve">Acacia </w:t>
      </w:r>
      <w:proofErr w:type="spellStart"/>
      <w:r w:rsidRPr="00EF5494">
        <w:rPr>
          <w:i/>
        </w:rPr>
        <w:t>pubescens</w:t>
      </w:r>
      <w:proofErr w:type="spellEnd"/>
      <w:r w:rsidRPr="00A33F3D">
        <w:t xml:space="preserve"> (EPBC</w:t>
      </w:r>
      <w:r>
        <w:t xml:space="preserve"> and TSC</w:t>
      </w:r>
      <w:r w:rsidRPr="00A33F3D">
        <w:t>)</w:t>
      </w:r>
    </w:p>
    <w:p w14:paraId="4DC6EEC6" w14:textId="77777777" w:rsidR="005241F5" w:rsidRDefault="005241F5" w:rsidP="005241F5">
      <w:pPr>
        <w:pStyle w:val="ListBullet2"/>
      </w:pPr>
      <w:proofErr w:type="spellStart"/>
      <w:r w:rsidRPr="00EF5494">
        <w:rPr>
          <w:i/>
        </w:rPr>
        <w:t>Cynanchum</w:t>
      </w:r>
      <w:proofErr w:type="spellEnd"/>
      <w:r w:rsidRPr="00EF5494">
        <w:rPr>
          <w:i/>
        </w:rPr>
        <w:t xml:space="preserve"> </w:t>
      </w:r>
      <w:proofErr w:type="spellStart"/>
      <w:r w:rsidRPr="00EF5494">
        <w:rPr>
          <w:i/>
        </w:rPr>
        <w:t>elegans</w:t>
      </w:r>
      <w:proofErr w:type="spellEnd"/>
      <w:r w:rsidRPr="00A33F3D">
        <w:t xml:space="preserve"> (EPBC</w:t>
      </w:r>
      <w:r>
        <w:t xml:space="preserve"> and TSC</w:t>
      </w:r>
      <w:r w:rsidRPr="00A33F3D">
        <w:t>)</w:t>
      </w:r>
    </w:p>
    <w:p w14:paraId="63C2F699" w14:textId="77777777" w:rsidR="005241F5" w:rsidRPr="00307B32" w:rsidRDefault="005241F5" w:rsidP="005241F5">
      <w:pPr>
        <w:pStyle w:val="ListBullet2"/>
      </w:pPr>
      <w:r w:rsidRPr="00EF5494">
        <w:rPr>
          <w:i/>
        </w:rPr>
        <w:t xml:space="preserve">Grevillea </w:t>
      </w:r>
      <w:proofErr w:type="spellStart"/>
      <w:r w:rsidRPr="00EF5494">
        <w:rPr>
          <w:i/>
        </w:rPr>
        <w:t>parviflora</w:t>
      </w:r>
      <w:proofErr w:type="spellEnd"/>
      <w:r w:rsidRPr="00A33F3D">
        <w:t xml:space="preserve"> subsp.</w:t>
      </w:r>
      <w:r w:rsidRPr="002A372B">
        <w:t xml:space="preserve"> </w:t>
      </w:r>
      <w:proofErr w:type="spellStart"/>
      <w:r w:rsidRPr="00EF5494">
        <w:rPr>
          <w:i/>
        </w:rPr>
        <w:t>parviflora</w:t>
      </w:r>
      <w:proofErr w:type="spellEnd"/>
      <w:r w:rsidRPr="00A33F3D">
        <w:t xml:space="preserve"> (EPBC</w:t>
      </w:r>
      <w:r>
        <w:t xml:space="preserve"> and TSC)</w:t>
      </w:r>
    </w:p>
    <w:p w14:paraId="497B2F29" w14:textId="77777777" w:rsidR="005241F5" w:rsidRDefault="005241F5" w:rsidP="005241F5">
      <w:pPr>
        <w:pStyle w:val="ListBullet2"/>
      </w:pPr>
      <w:proofErr w:type="spellStart"/>
      <w:r w:rsidRPr="00EF5494">
        <w:rPr>
          <w:i/>
        </w:rPr>
        <w:t>Isotoma</w:t>
      </w:r>
      <w:proofErr w:type="spellEnd"/>
      <w:r w:rsidRPr="00EF5494">
        <w:rPr>
          <w:i/>
        </w:rPr>
        <w:t xml:space="preserve"> </w:t>
      </w:r>
      <w:proofErr w:type="spellStart"/>
      <w:r w:rsidRPr="00EF5494">
        <w:rPr>
          <w:i/>
        </w:rPr>
        <w:t>sessiliflora</w:t>
      </w:r>
      <w:proofErr w:type="spellEnd"/>
      <w:r>
        <w:t xml:space="preserve"> (</w:t>
      </w:r>
      <w:proofErr w:type="spellStart"/>
      <w:r w:rsidRPr="00EF5494">
        <w:rPr>
          <w:i/>
        </w:rPr>
        <w:t>Hypsela</w:t>
      </w:r>
      <w:proofErr w:type="spellEnd"/>
      <w:r w:rsidRPr="00EF5494">
        <w:rPr>
          <w:i/>
        </w:rPr>
        <w:t xml:space="preserve"> </w:t>
      </w:r>
      <w:proofErr w:type="spellStart"/>
      <w:r w:rsidRPr="00EF5494">
        <w:rPr>
          <w:i/>
        </w:rPr>
        <w:t>sessiliflora</w:t>
      </w:r>
      <w:proofErr w:type="spellEnd"/>
      <w:r>
        <w:t>) (EPBC and TSC)</w:t>
      </w:r>
    </w:p>
    <w:p w14:paraId="15CD2119" w14:textId="77777777" w:rsidR="005241F5" w:rsidRDefault="005241F5" w:rsidP="005241F5">
      <w:pPr>
        <w:pStyle w:val="ListBullet2"/>
      </w:pPr>
      <w:proofErr w:type="spellStart"/>
      <w:r w:rsidRPr="00E24D9A">
        <w:rPr>
          <w:i/>
        </w:rPr>
        <w:t>Pimelea</w:t>
      </w:r>
      <w:proofErr w:type="spellEnd"/>
      <w:r w:rsidRPr="00E24D9A">
        <w:rPr>
          <w:i/>
        </w:rPr>
        <w:t xml:space="preserve"> </w:t>
      </w:r>
      <w:proofErr w:type="spellStart"/>
      <w:r w:rsidRPr="00E24D9A">
        <w:rPr>
          <w:i/>
        </w:rPr>
        <w:t>spicata</w:t>
      </w:r>
      <w:proofErr w:type="spellEnd"/>
      <w:r w:rsidRPr="00A33F3D">
        <w:t xml:space="preserve"> (EPBC</w:t>
      </w:r>
      <w:r>
        <w:t xml:space="preserve"> and TSC</w:t>
      </w:r>
      <w:r w:rsidRPr="00A33F3D">
        <w:t>)</w:t>
      </w:r>
    </w:p>
    <w:p w14:paraId="797B7074" w14:textId="77777777" w:rsidR="005241F5" w:rsidRDefault="005241F5" w:rsidP="005241F5">
      <w:pPr>
        <w:pStyle w:val="ListBullet2"/>
      </w:pPr>
      <w:proofErr w:type="spellStart"/>
      <w:r w:rsidRPr="00EF5494">
        <w:rPr>
          <w:i/>
        </w:rPr>
        <w:t>Pultenaea</w:t>
      </w:r>
      <w:proofErr w:type="spellEnd"/>
      <w:r w:rsidRPr="00EF5494">
        <w:rPr>
          <w:i/>
        </w:rPr>
        <w:t xml:space="preserve"> </w:t>
      </w:r>
      <w:proofErr w:type="spellStart"/>
      <w:r w:rsidRPr="00EF5494">
        <w:rPr>
          <w:i/>
        </w:rPr>
        <w:t>parviflora</w:t>
      </w:r>
      <w:proofErr w:type="spellEnd"/>
      <w:r w:rsidRPr="00A33F3D">
        <w:t xml:space="preserve"> (EPBC</w:t>
      </w:r>
      <w:r>
        <w:t xml:space="preserve"> and TSC</w:t>
      </w:r>
      <w:r w:rsidRPr="00A33F3D">
        <w:t>)</w:t>
      </w:r>
    </w:p>
    <w:p w14:paraId="0F961113" w14:textId="77777777" w:rsidR="005241F5" w:rsidRPr="00307B32" w:rsidRDefault="005241F5" w:rsidP="005241F5">
      <w:pPr>
        <w:pStyle w:val="ListBullet2"/>
      </w:pPr>
      <w:r w:rsidRPr="00EF5494">
        <w:rPr>
          <w:i/>
        </w:rPr>
        <w:t xml:space="preserve">Dillwynia </w:t>
      </w:r>
      <w:proofErr w:type="spellStart"/>
      <w:r w:rsidRPr="00EF5494">
        <w:rPr>
          <w:i/>
        </w:rPr>
        <w:t>tenuifolia</w:t>
      </w:r>
      <w:proofErr w:type="spellEnd"/>
      <w:r>
        <w:t xml:space="preserve"> (TSC)</w:t>
      </w:r>
    </w:p>
    <w:p w14:paraId="0B19ADD8" w14:textId="77777777" w:rsidR="005241F5" w:rsidRPr="00307B32" w:rsidRDefault="005241F5" w:rsidP="005241F5">
      <w:pPr>
        <w:pStyle w:val="ListBullet2"/>
      </w:pPr>
      <w:r w:rsidRPr="00EF5494">
        <w:rPr>
          <w:i/>
        </w:rPr>
        <w:t xml:space="preserve">Dillwynia </w:t>
      </w:r>
      <w:proofErr w:type="spellStart"/>
      <w:r w:rsidRPr="00EF5494">
        <w:rPr>
          <w:i/>
        </w:rPr>
        <w:t>tenuifolia</w:t>
      </w:r>
      <w:proofErr w:type="spellEnd"/>
      <w:r>
        <w:t xml:space="preserve"> (TSC listed endangered population)</w:t>
      </w:r>
    </w:p>
    <w:p w14:paraId="732EE3D3" w14:textId="77777777" w:rsidR="005241F5" w:rsidRDefault="005241F5" w:rsidP="005241F5">
      <w:pPr>
        <w:pStyle w:val="ListBullet2"/>
      </w:pPr>
      <w:r w:rsidRPr="00EF5494">
        <w:rPr>
          <w:i/>
        </w:rPr>
        <w:t xml:space="preserve">Grevillea </w:t>
      </w:r>
      <w:proofErr w:type="spellStart"/>
      <w:r w:rsidRPr="00EF5494">
        <w:rPr>
          <w:i/>
        </w:rPr>
        <w:t>juniperina</w:t>
      </w:r>
      <w:proofErr w:type="spellEnd"/>
      <w:r w:rsidRPr="00EF5494">
        <w:rPr>
          <w:i/>
        </w:rPr>
        <w:t xml:space="preserve"> </w:t>
      </w:r>
      <w:r w:rsidRPr="00A33F3D">
        <w:t>subsp.</w:t>
      </w:r>
      <w:r w:rsidRPr="002A372B">
        <w:t xml:space="preserve"> </w:t>
      </w:r>
      <w:proofErr w:type="spellStart"/>
      <w:r w:rsidRPr="00EF5494">
        <w:rPr>
          <w:i/>
        </w:rPr>
        <w:t>juniperina</w:t>
      </w:r>
      <w:proofErr w:type="spellEnd"/>
      <w:r>
        <w:t xml:space="preserve"> </w:t>
      </w:r>
      <w:r w:rsidRPr="00307B32">
        <w:t>(TSC)</w:t>
      </w:r>
    </w:p>
    <w:p w14:paraId="68E703DF" w14:textId="77777777" w:rsidR="005241F5" w:rsidRDefault="005241F5" w:rsidP="005241F5">
      <w:pPr>
        <w:pStyle w:val="ListBullet2"/>
      </w:pPr>
      <w:proofErr w:type="spellStart"/>
      <w:r w:rsidRPr="00EF5494">
        <w:rPr>
          <w:i/>
        </w:rPr>
        <w:t>Marsdenia</w:t>
      </w:r>
      <w:proofErr w:type="spellEnd"/>
      <w:r w:rsidRPr="00EF5494">
        <w:rPr>
          <w:i/>
        </w:rPr>
        <w:t xml:space="preserve"> </w:t>
      </w:r>
      <w:proofErr w:type="spellStart"/>
      <w:r w:rsidRPr="00EF5494">
        <w:rPr>
          <w:i/>
        </w:rPr>
        <w:t>viridiflora</w:t>
      </w:r>
      <w:proofErr w:type="spellEnd"/>
      <w:r w:rsidRPr="00A33F3D">
        <w:t xml:space="preserve"> subsp. </w:t>
      </w:r>
      <w:proofErr w:type="spellStart"/>
      <w:r w:rsidRPr="00EF5494">
        <w:rPr>
          <w:i/>
        </w:rPr>
        <w:t>viridiflora</w:t>
      </w:r>
      <w:proofErr w:type="spellEnd"/>
      <w:r>
        <w:t xml:space="preserve"> (TSC listed endangered population).</w:t>
      </w:r>
    </w:p>
    <w:p w14:paraId="58E63AA3" w14:textId="77777777" w:rsidR="00730D83" w:rsidRDefault="005241F5" w:rsidP="005241F5">
      <w:pPr>
        <w:pStyle w:val="ListBullet"/>
        <w:sectPr w:rsidR="00730D83" w:rsidSect="009378DC">
          <w:type w:val="oddPage"/>
          <w:pgSz w:w="11900" w:h="16840"/>
          <w:pgMar w:top="1418" w:right="1418" w:bottom="1418" w:left="1418" w:header="709" w:footer="709" w:gutter="0"/>
          <w:cols w:space="708"/>
          <w:docGrid w:linePitch="360"/>
        </w:sectPr>
      </w:pPr>
      <w:r>
        <w:t>Undertake targeted survey for the following threatened fauna species (all TSC listed, and also EPBC listed where noted):</w:t>
      </w:r>
    </w:p>
    <w:p w14:paraId="01CBFEF0" w14:textId="32288E42" w:rsidR="005241F5" w:rsidRPr="00710077" w:rsidRDefault="005241F5" w:rsidP="005241F5">
      <w:pPr>
        <w:pStyle w:val="ListBullet"/>
      </w:pPr>
      <w:r w:rsidRPr="00710077">
        <w:t>Giant Burrowing Frog (EPBC)</w:t>
      </w:r>
    </w:p>
    <w:p w14:paraId="09FFFA1C" w14:textId="77777777" w:rsidR="005241F5" w:rsidRPr="00710077" w:rsidRDefault="005241F5" w:rsidP="005241F5">
      <w:pPr>
        <w:pStyle w:val="ListBullet2"/>
      </w:pPr>
      <w:r w:rsidRPr="00710077">
        <w:t>Green and Golden Bell Frog (EPBC)</w:t>
      </w:r>
    </w:p>
    <w:p w14:paraId="3C2AB6A2" w14:textId="77777777" w:rsidR="005241F5" w:rsidRDefault="005241F5" w:rsidP="005241F5">
      <w:pPr>
        <w:pStyle w:val="ListBullet2"/>
      </w:pPr>
      <w:r>
        <w:t>Regent Honeyeater (EPBC)</w:t>
      </w:r>
    </w:p>
    <w:p w14:paraId="4DAD47BA" w14:textId="77777777" w:rsidR="005241F5" w:rsidRDefault="005241F5" w:rsidP="005241F5">
      <w:pPr>
        <w:pStyle w:val="ListBullet2"/>
      </w:pPr>
      <w:r>
        <w:t>Swift Parrot (EPBC)</w:t>
      </w:r>
    </w:p>
    <w:p w14:paraId="0BA59A5E" w14:textId="77777777" w:rsidR="005241F5" w:rsidRDefault="005241F5" w:rsidP="005241F5">
      <w:pPr>
        <w:pStyle w:val="ListBullet2"/>
      </w:pPr>
      <w:r>
        <w:t>Grey-headed Flying-fox (EPBC)</w:t>
      </w:r>
    </w:p>
    <w:p w14:paraId="6B1FBBEC" w14:textId="77777777" w:rsidR="005241F5" w:rsidRDefault="005241F5" w:rsidP="005241F5">
      <w:pPr>
        <w:pStyle w:val="ListBullet2"/>
      </w:pPr>
      <w:r>
        <w:t>Large-eared Pied Bat (EPBC)</w:t>
      </w:r>
    </w:p>
    <w:p w14:paraId="3B793A48" w14:textId="77777777" w:rsidR="005241F5" w:rsidRPr="00710077" w:rsidRDefault="005241F5" w:rsidP="005241F5">
      <w:pPr>
        <w:pStyle w:val="ListBullet2"/>
      </w:pPr>
      <w:r>
        <w:t>Barking Owl</w:t>
      </w:r>
    </w:p>
    <w:p w14:paraId="34BDA510" w14:textId="77777777" w:rsidR="005241F5" w:rsidRPr="00710077" w:rsidRDefault="005241F5" w:rsidP="005241F5">
      <w:pPr>
        <w:pStyle w:val="ListBullet2"/>
      </w:pPr>
      <w:r w:rsidRPr="00710077">
        <w:t>Black-chinned Honeyeater</w:t>
      </w:r>
    </w:p>
    <w:p w14:paraId="6A722689" w14:textId="77777777" w:rsidR="005241F5" w:rsidRPr="00710077" w:rsidRDefault="005241F5" w:rsidP="005241F5">
      <w:pPr>
        <w:pStyle w:val="ListBullet2"/>
      </w:pPr>
      <w:r w:rsidRPr="00710077">
        <w:t>Diamond Firetail</w:t>
      </w:r>
    </w:p>
    <w:p w14:paraId="383D39CD" w14:textId="77777777" w:rsidR="005241F5" w:rsidRPr="00710077" w:rsidRDefault="005241F5" w:rsidP="005241F5">
      <w:pPr>
        <w:pStyle w:val="ListBullet2"/>
      </w:pPr>
      <w:r w:rsidRPr="00710077">
        <w:t>Flame Robin</w:t>
      </w:r>
    </w:p>
    <w:p w14:paraId="1FDF33C2" w14:textId="77777777" w:rsidR="005241F5" w:rsidRPr="00710077" w:rsidRDefault="005241F5" w:rsidP="005241F5">
      <w:pPr>
        <w:pStyle w:val="ListBullet2"/>
      </w:pPr>
      <w:r w:rsidRPr="00710077">
        <w:t>Gang-gang Cockatoo</w:t>
      </w:r>
    </w:p>
    <w:p w14:paraId="50D15B7D" w14:textId="77777777" w:rsidR="005241F5" w:rsidRDefault="005241F5" w:rsidP="005241F5">
      <w:pPr>
        <w:pStyle w:val="ListBullet2"/>
      </w:pPr>
      <w:r w:rsidRPr="00710077">
        <w:t>Glossy Black-cockatoo</w:t>
      </w:r>
    </w:p>
    <w:p w14:paraId="74AC2A64" w14:textId="77777777" w:rsidR="005241F5" w:rsidRDefault="005241F5" w:rsidP="005241F5">
      <w:pPr>
        <w:pStyle w:val="ListBullet2"/>
      </w:pPr>
      <w:r>
        <w:t>Hooded Robin</w:t>
      </w:r>
    </w:p>
    <w:p w14:paraId="0AAFA53A" w14:textId="0BE32A14" w:rsidR="005241F5" w:rsidRDefault="005241F5" w:rsidP="005241F5">
      <w:pPr>
        <w:pStyle w:val="ListBullet2"/>
      </w:pPr>
      <w:r>
        <w:t>Little Eagle</w:t>
      </w:r>
    </w:p>
    <w:p w14:paraId="0F625B3E" w14:textId="77777777" w:rsidR="005241F5" w:rsidRDefault="005241F5" w:rsidP="005241F5">
      <w:pPr>
        <w:pStyle w:val="ListBullet2"/>
      </w:pPr>
      <w:r>
        <w:t>Little Lorikeet</w:t>
      </w:r>
    </w:p>
    <w:p w14:paraId="4B5323B4" w14:textId="77777777" w:rsidR="005241F5" w:rsidRDefault="005241F5" w:rsidP="005241F5">
      <w:pPr>
        <w:pStyle w:val="ListBullet2"/>
      </w:pPr>
      <w:r>
        <w:t>Powerful Owl</w:t>
      </w:r>
    </w:p>
    <w:p w14:paraId="4F8D837C" w14:textId="77777777" w:rsidR="005241F5" w:rsidRDefault="005241F5" w:rsidP="005241F5">
      <w:pPr>
        <w:pStyle w:val="ListBullet2"/>
      </w:pPr>
      <w:r>
        <w:t>Masked Owl</w:t>
      </w:r>
    </w:p>
    <w:p w14:paraId="02FA16C0" w14:textId="77777777" w:rsidR="005241F5" w:rsidRDefault="005241F5" w:rsidP="005241F5">
      <w:pPr>
        <w:pStyle w:val="ListBullet2"/>
      </w:pPr>
      <w:r>
        <w:t>Scarlet Robin</w:t>
      </w:r>
    </w:p>
    <w:p w14:paraId="4F476A0A" w14:textId="77777777" w:rsidR="005241F5" w:rsidRDefault="005241F5" w:rsidP="005241F5">
      <w:pPr>
        <w:pStyle w:val="ListBullet2"/>
      </w:pPr>
      <w:r>
        <w:t>Speckled Warbler</w:t>
      </w:r>
    </w:p>
    <w:p w14:paraId="01BBD483" w14:textId="77777777" w:rsidR="005241F5" w:rsidRDefault="005241F5" w:rsidP="005241F5">
      <w:pPr>
        <w:pStyle w:val="ListBullet2"/>
      </w:pPr>
      <w:r>
        <w:t>Square-tailed Kite</w:t>
      </w:r>
    </w:p>
    <w:p w14:paraId="1DD445A9" w14:textId="77777777" w:rsidR="005241F5" w:rsidRDefault="005241F5" w:rsidP="005241F5">
      <w:pPr>
        <w:pStyle w:val="ListBullet2"/>
      </w:pPr>
      <w:r>
        <w:t>Varied Sittella</w:t>
      </w:r>
    </w:p>
    <w:p w14:paraId="73813458" w14:textId="77777777" w:rsidR="005241F5" w:rsidRDefault="005241F5" w:rsidP="005241F5">
      <w:pPr>
        <w:pStyle w:val="ListBullet2"/>
      </w:pPr>
      <w:r>
        <w:t>Cumberland Land Snail</w:t>
      </w:r>
    </w:p>
    <w:p w14:paraId="3EC1FD8B" w14:textId="77777777" w:rsidR="005241F5" w:rsidRDefault="005241F5" w:rsidP="005241F5">
      <w:pPr>
        <w:pStyle w:val="ListBullet2"/>
      </w:pPr>
      <w:r>
        <w:t xml:space="preserve">Eastern </w:t>
      </w:r>
      <w:proofErr w:type="spellStart"/>
      <w:r>
        <w:t>Bentwing</w:t>
      </w:r>
      <w:proofErr w:type="spellEnd"/>
      <w:r>
        <w:t xml:space="preserve"> Bat</w:t>
      </w:r>
    </w:p>
    <w:p w14:paraId="332894CA" w14:textId="77777777" w:rsidR="005241F5" w:rsidRDefault="005241F5" w:rsidP="005241F5">
      <w:pPr>
        <w:pStyle w:val="ListBullet2"/>
      </w:pPr>
      <w:r>
        <w:t xml:space="preserve">Eastern </w:t>
      </w:r>
      <w:proofErr w:type="spellStart"/>
      <w:r>
        <w:t>Freetail</w:t>
      </w:r>
      <w:proofErr w:type="spellEnd"/>
      <w:r>
        <w:t xml:space="preserve"> Bat</w:t>
      </w:r>
    </w:p>
    <w:p w14:paraId="36E0D450" w14:textId="77777777" w:rsidR="005241F5" w:rsidRDefault="005241F5" w:rsidP="005241F5">
      <w:pPr>
        <w:pStyle w:val="ListBullet2"/>
      </w:pPr>
      <w:r>
        <w:t>Greater Broad-nosed Bat</w:t>
      </w:r>
    </w:p>
    <w:p w14:paraId="6A3DCD1D" w14:textId="77777777" w:rsidR="005241F5" w:rsidRDefault="005241F5" w:rsidP="005241F5">
      <w:pPr>
        <w:pStyle w:val="ListBullet2"/>
      </w:pPr>
      <w:r>
        <w:t xml:space="preserve">Southern </w:t>
      </w:r>
      <w:proofErr w:type="spellStart"/>
      <w:r>
        <w:t>Myotis</w:t>
      </w:r>
      <w:proofErr w:type="spellEnd"/>
      <w:r>
        <w:t>.</w:t>
      </w:r>
    </w:p>
    <w:p w14:paraId="489678AE" w14:textId="77777777" w:rsidR="00730D83" w:rsidRDefault="00730D83" w:rsidP="005241F5">
      <w:pPr>
        <w:pStyle w:val="ListBullet"/>
        <w:sectPr w:rsidR="00730D83" w:rsidSect="00730D83">
          <w:type w:val="continuous"/>
          <w:pgSz w:w="11900" w:h="16840"/>
          <w:pgMar w:top="1418" w:right="1418" w:bottom="1418" w:left="1418" w:header="709" w:footer="709" w:gutter="0"/>
          <w:cols w:num="2" w:space="708"/>
          <w:docGrid w:linePitch="360"/>
        </w:sectPr>
      </w:pPr>
    </w:p>
    <w:p w14:paraId="4995535C" w14:textId="194D6132" w:rsidR="00E24D9A" w:rsidRDefault="005241F5" w:rsidP="005241F5">
      <w:pPr>
        <w:pStyle w:val="ListBullet"/>
      </w:pPr>
      <w:r>
        <w:t xml:space="preserve">Undertake targeted survey for migratory species with potential habitat in the study area: Cattle Egret, Fork-tailed Swift, Great Egret, Latham’s Snipe, Rainbow Bee-eater, </w:t>
      </w:r>
      <w:proofErr w:type="spellStart"/>
      <w:r>
        <w:t>Rufous</w:t>
      </w:r>
      <w:proofErr w:type="spellEnd"/>
      <w:r>
        <w:t xml:space="preserve"> Fantail and White-throated </w:t>
      </w:r>
      <w:proofErr w:type="spellStart"/>
      <w:r>
        <w:t>Needletail</w:t>
      </w:r>
      <w:proofErr w:type="spellEnd"/>
      <w:r>
        <w:t>.</w:t>
      </w:r>
    </w:p>
    <w:p w14:paraId="00ABDAC0" w14:textId="4F2A9873" w:rsidR="00E24D9A" w:rsidRDefault="00E24D9A" w:rsidP="00E24D9A">
      <w:pPr>
        <w:pStyle w:val="ListBullet"/>
      </w:pPr>
      <w:r>
        <w:t xml:space="preserve">Further survey of </w:t>
      </w:r>
      <w:r w:rsidR="004F784E">
        <w:t xml:space="preserve">representative </w:t>
      </w:r>
      <w:r>
        <w:t>aquatic environments throughout the study area, with targeted surveys undertaken for known threatened aquatic flora and fauna.</w:t>
      </w:r>
    </w:p>
    <w:p w14:paraId="05721BD8" w14:textId="697B4F00" w:rsidR="00E24D9A" w:rsidRDefault="00E24D9A" w:rsidP="005613AC">
      <w:pPr>
        <w:pStyle w:val="Subheading"/>
      </w:pPr>
      <w:r>
        <w:t>Historic heritage</w:t>
      </w:r>
    </w:p>
    <w:p w14:paraId="3C503A1D" w14:textId="794E96F3" w:rsidR="00DA01A5" w:rsidRDefault="00DA01A5" w:rsidP="00DA01A5">
      <w:pPr>
        <w:pStyle w:val="BodyText"/>
      </w:pPr>
      <w:r>
        <w:t>Assessing heritage values:</w:t>
      </w:r>
    </w:p>
    <w:p w14:paraId="4CDF616A" w14:textId="355CA67E" w:rsidR="00851C08" w:rsidRDefault="000C543E" w:rsidP="00851C08">
      <w:pPr>
        <w:pStyle w:val="ListBullet"/>
      </w:pPr>
      <w:r w:rsidRPr="00C30C4F">
        <w:t>Additional research into the historic and current environment of the eight historic heritage places within the footprint of the Badgerys Creek study area should be undertaken to inform any future environmental assessment process, consistent with relevant legislative requirements and best practice heritage assessment methods</w:t>
      </w:r>
      <w:r>
        <w:t>.</w:t>
      </w:r>
    </w:p>
    <w:p w14:paraId="5701DA18" w14:textId="7D18A142" w:rsidR="00DA01A5" w:rsidRDefault="00DA01A5" w:rsidP="00DA01A5">
      <w:pPr>
        <w:pStyle w:val="BodyText"/>
      </w:pPr>
      <w:r>
        <w:t>Built heritage places:</w:t>
      </w:r>
    </w:p>
    <w:p w14:paraId="06E002E7" w14:textId="77777777" w:rsidR="00851C08" w:rsidRDefault="00851C08" w:rsidP="00851C08">
      <w:pPr>
        <w:pStyle w:val="ListBullet"/>
      </w:pPr>
      <w:r>
        <w:t>Options for the possible retention or relocation of original buildings associated with each of the three built heritage places should be explored.</w:t>
      </w:r>
    </w:p>
    <w:p w14:paraId="5ADC0FBD" w14:textId="77777777" w:rsidR="00851C08" w:rsidRDefault="00851C08" w:rsidP="00851C08">
      <w:pPr>
        <w:pStyle w:val="ListBullet"/>
      </w:pPr>
      <w:r>
        <w:t>The archaeological research potential of the three built heritage places should be investigated to determine the likelihood of archaeological resources and relics to be present which could enhance an understanding of the local historic environment.</w:t>
      </w:r>
    </w:p>
    <w:p w14:paraId="4754ABDD" w14:textId="77777777" w:rsidR="00851C08" w:rsidRDefault="00851C08" w:rsidP="00851C08">
      <w:pPr>
        <w:pStyle w:val="ListBullet"/>
      </w:pPr>
      <w:r>
        <w:t>Archival photographic recording should be prepared for the original buildings within the context of their landscape setting, local environment and associations with other buildings and features. The recording will ensure that the history and environment of each structure can be retained for future reference and research.</w:t>
      </w:r>
    </w:p>
    <w:p w14:paraId="16520DD6" w14:textId="77777777" w:rsidR="00851C08" w:rsidRDefault="00851C08" w:rsidP="00851C08">
      <w:pPr>
        <w:pStyle w:val="ListBullet"/>
      </w:pPr>
      <w:r>
        <w:t>Dismantling or demolition of timber slab cottages and huts should be monitored to ensure that the technologies used in constructing the buildings are recorded for future reference and research.</w:t>
      </w:r>
    </w:p>
    <w:p w14:paraId="3B93C62E" w14:textId="7AA22449" w:rsidR="002C7F8D" w:rsidRDefault="002C7F8D" w:rsidP="002C7F8D">
      <w:pPr>
        <w:pStyle w:val="BodyText"/>
      </w:pPr>
      <w:r>
        <w:t>Historic archaeological places:</w:t>
      </w:r>
    </w:p>
    <w:p w14:paraId="5E41D615" w14:textId="6F260F05" w:rsidR="00851C08" w:rsidRDefault="00851C08" w:rsidP="00851C08">
      <w:pPr>
        <w:pStyle w:val="ListBullet"/>
      </w:pPr>
      <w:r w:rsidRPr="00E628B8">
        <w:t xml:space="preserve">An archaeological assessment should be prepared for each of the </w:t>
      </w:r>
      <w:r w:rsidR="000C543E">
        <w:t>three</w:t>
      </w:r>
      <w:r w:rsidRPr="00E628B8">
        <w:t xml:space="preserve"> identified archaeological sites.</w:t>
      </w:r>
    </w:p>
    <w:p w14:paraId="1EBEBE12" w14:textId="77777777" w:rsidR="00851C08" w:rsidRDefault="00851C08" w:rsidP="00851C08">
      <w:pPr>
        <w:pStyle w:val="ListBullet"/>
      </w:pPr>
      <w:r w:rsidRPr="00E628B8">
        <w:t>The assessment should include a detailed investigation of the history, land titles and historic documentation, an assessment of the research potential and heritage values, and an appropriate archaeological management strategy for each individual site.</w:t>
      </w:r>
    </w:p>
    <w:p w14:paraId="39570B9E" w14:textId="5B65730E" w:rsidR="002C7F8D" w:rsidRDefault="002C7F8D" w:rsidP="002C7F8D">
      <w:pPr>
        <w:pStyle w:val="BodyText"/>
      </w:pPr>
      <w:r>
        <w:t>Church and cemetery heritage:</w:t>
      </w:r>
    </w:p>
    <w:p w14:paraId="58373091" w14:textId="77777777" w:rsidR="00851C08" w:rsidRDefault="00851C08" w:rsidP="00851C08">
      <w:pPr>
        <w:pStyle w:val="ListBullet"/>
      </w:pPr>
      <w:r w:rsidRPr="005416D7">
        <w:t>An archaeological assessment of the two former church sites should be prepared that considers the research potential of each site, its heritage values and an appropriate archaeological strategy for managing the exhumation of graves, shoul</w:t>
      </w:r>
      <w:r>
        <w:t>d this be the preferred option.</w:t>
      </w:r>
    </w:p>
    <w:p w14:paraId="584F009E" w14:textId="362B8133" w:rsidR="00851C08" w:rsidRDefault="00851C08" w:rsidP="00851C08">
      <w:pPr>
        <w:pStyle w:val="ListBullet"/>
      </w:pPr>
      <w:r w:rsidRPr="005416D7">
        <w:t>Determination of the preferred site(s) for relocation of graves and the process of exhumation should be undertaken in consultation with all relevant stakeholder groups throughout the process including members of the families, churc</w:t>
      </w:r>
      <w:r w:rsidR="000C543E">
        <w:t>h groups and religious bodies.</w:t>
      </w:r>
    </w:p>
    <w:p w14:paraId="5DFBC4F0" w14:textId="1EBF17C3" w:rsidR="002C7F8D" w:rsidRDefault="002C7F8D" w:rsidP="00730D83">
      <w:pPr>
        <w:pStyle w:val="BodyText"/>
        <w:keepNext/>
      </w:pPr>
      <w:r>
        <w:t>Heritage precinct:</w:t>
      </w:r>
    </w:p>
    <w:p w14:paraId="3E084005" w14:textId="2B450564" w:rsidR="000C543E" w:rsidRDefault="000C543E" w:rsidP="000C543E">
      <w:pPr>
        <w:pStyle w:val="ListBullet"/>
      </w:pPr>
      <w:r>
        <w:t>O</w:t>
      </w:r>
      <w:r w:rsidRPr="000C543E">
        <w:t xml:space="preserve">ptions for the creation of a heritage precinct </w:t>
      </w:r>
      <w:r w:rsidR="007F1145">
        <w:t>c</w:t>
      </w:r>
      <w:r w:rsidRPr="000C543E">
        <w:t>ould be considered during the next phase of investigations. The precinct could include graves of local families, timber slab construction cottage(s), the original school building and artefacts and relics recovered f</w:t>
      </w:r>
      <w:r w:rsidR="007F1145">
        <w:t>rom archaeological excavations.</w:t>
      </w:r>
    </w:p>
    <w:p w14:paraId="23FF4EE3" w14:textId="5ABF8CA9" w:rsidR="002C7F8D" w:rsidRDefault="002C7F8D" w:rsidP="00A74F59">
      <w:pPr>
        <w:pStyle w:val="BodyText"/>
        <w:keepNext/>
      </w:pPr>
      <w:r>
        <w:t>Heritage in the vicinity:</w:t>
      </w:r>
    </w:p>
    <w:p w14:paraId="4376DC8B" w14:textId="77777777" w:rsidR="002C7F8D" w:rsidRDefault="000C543E" w:rsidP="000C543E">
      <w:pPr>
        <w:pStyle w:val="ListBullet"/>
      </w:pPr>
      <w:r w:rsidRPr="000C543E">
        <w:t>Twenty-one listed and potential heritage items have been identified within the vicinity of the Badgerys Creek study area, which warrant further investigation to determine whether there would be impacts to heritage values arising from any future proposed development.</w:t>
      </w:r>
    </w:p>
    <w:p w14:paraId="08AC2C98" w14:textId="41F79EC2" w:rsidR="000C543E" w:rsidRDefault="000C543E" w:rsidP="000C543E">
      <w:pPr>
        <w:pStyle w:val="ListBullet"/>
      </w:pPr>
      <w:r w:rsidRPr="000C543E">
        <w:t>Appropriate mitigation measures aimed at avoiding or mitigating impacts on heritage values should also be determined.</w:t>
      </w:r>
    </w:p>
    <w:p w14:paraId="3A929408" w14:textId="13548EA7" w:rsidR="00E24D9A" w:rsidRDefault="00E24D9A" w:rsidP="005613AC">
      <w:pPr>
        <w:pStyle w:val="Subheading"/>
      </w:pPr>
      <w:r>
        <w:t>Aboriginal heritage</w:t>
      </w:r>
    </w:p>
    <w:p w14:paraId="5B5DA16F" w14:textId="77777777" w:rsidR="00E318F0" w:rsidRDefault="00E318F0" w:rsidP="00E318F0">
      <w:pPr>
        <w:pStyle w:val="ListBullet"/>
      </w:pPr>
      <w:r>
        <w:t xml:space="preserve">Aboriginal community consultation should be carried out to ensure the appropriate involvement of Aboriginal stakeholders in the assessment and decision making regarding their heritage. Consultation should comply with </w:t>
      </w:r>
      <w:r w:rsidRPr="004A42B9">
        <w:rPr>
          <w:i/>
        </w:rPr>
        <w:t xml:space="preserve">Ask First: A guide to respecting </w:t>
      </w:r>
      <w:r>
        <w:rPr>
          <w:i/>
        </w:rPr>
        <w:t>Aboriginal</w:t>
      </w:r>
      <w:r w:rsidRPr="004A42B9">
        <w:rPr>
          <w:i/>
        </w:rPr>
        <w:t xml:space="preserve"> heritage places and values</w:t>
      </w:r>
      <w:r>
        <w:t xml:space="preserve"> (Australian Heritage Commission 2002), and address the </w:t>
      </w:r>
      <w:r w:rsidRPr="004A42B9">
        <w:rPr>
          <w:i/>
        </w:rPr>
        <w:t>Aboriginal cultural heritage consultation requirements for proponents</w:t>
      </w:r>
      <w:r>
        <w:t xml:space="preserve"> (DECCW 2010e), as appropriate.</w:t>
      </w:r>
    </w:p>
    <w:p w14:paraId="320700CF" w14:textId="77777777" w:rsidR="00E318F0" w:rsidRDefault="00E318F0" w:rsidP="00E318F0">
      <w:pPr>
        <w:pStyle w:val="ListBullet"/>
      </w:pPr>
      <w:r>
        <w:t xml:space="preserve">Full archaeological survey of the Commonwealth land should be undertaken in consultation and engagement with Aboriginal community stakeholders. The survey and assessment should seek to assess a representative sample of all landforms within the area, and should comply with the requirements of the OEH </w:t>
      </w:r>
      <w:r w:rsidRPr="004A42B9">
        <w:rPr>
          <w:i/>
        </w:rPr>
        <w:t>Code of Practice for Archaeological Investigation of Aboriginal Objects in New South Wales</w:t>
      </w:r>
      <w:r>
        <w:t xml:space="preserve"> (DECCW 2010c).</w:t>
      </w:r>
    </w:p>
    <w:p w14:paraId="32066DFC" w14:textId="51B6C4BD" w:rsidR="00851C08" w:rsidRDefault="00E318F0" w:rsidP="00E318F0">
      <w:pPr>
        <w:pStyle w:val="ListBullet"/>
      </w:pPr>
      <w:r w:rsidRPr="007E62F8">
        <w:t>A program of archaeological test and salvage excavations should be carried out throughout impact areas resulting from future development or land use activities on the Commonwealth land at Badgerys Creek, in consultation and engagement with Aboriginal community stakeholders. The scope and methodology of the excavation should respond to the results of the archaeological survey and assessment, and should seek to recover and analyse an appropriate representative sample of the Aboriginal archaeological resource of the area.</w:t>
      </w:r>
    </w:p>
    <w:p w14:paraId="1E0C8812" w14:textId="055A8373" w:rsidR="00E24D9A" w:rsidRDefault="00E24D9A" w:rsidP="005613AC">
      <w:pPr>
        <w:pStyle w:val="Subheading"/>
      </w:pPr>
      <w:r>
        <w:t>Hydrology and water quality</w:t>
      </w:r>
    </w:p>
    <w:p w14:paraId="7E7C7972" w14:textId="77777777" w:rsidR="003B4F1B" w:rsidRDefault="003B4F1B" w:rsidP="003B4F1B">
      <w:pPr>
        <w:pStyle w:val="ListBullet"/>
      </w:pPr>
      <w:r>
        <w:t>While information gaps relating to hydrology and water quality have been identified, consideration should be given to the likely or potential value of this information for management of the Commonwealth land or to any future environmental assessments.</w:t>
      </w:r>
    </w:p>
    <w:p w14:paraId="084C006E" w14:textId="77777777" w:rsidR="003B4F1B" w:rsidRDefault="003B4F1B" w:rsidP="003B4F1B">
      <w:pPr>
        <w:pStyle w:val="ListBullet"/>
      </w:pPr>
      <w:r>
        <w:t>Previous hydrological modelling should be reviewed to assess whether there have been any material changes in environmental conditions that could have bearing on model outputs. This should also include a review of modelling assumptions to confirm their validity or to guide any required revision.</w:t>
      </w:r>
    </w:p>
    <w:p w14:paraId="66B932BB" w14:textId="77777777" w:rsidR="003B4F1B" w:rsidRDefault="003B4F1B" w:rsidP="003B4F1B">
      <w:pPr>
        <w:pStyle w:val="ListBullet"/>
      </w:pPr>
      <w:r>
        <w:t>Any future development of the land should include appropriate consultation with the NSW Office of Water to identify relevant issues for consideration with regard to management of flood risk both within and outside the boundaries of the Commonwealth land.</w:t>
      </w:r>
    </w:p>
    <w:p w14:paraId="484C585C" w14:textId="2732D8D7" w:rsidR="007F053D" w:rsidRDefault="003B4F1B" w:rsidP="00BE3216">
      <w:pPr>
        <w:pStyle w:val="ListBullet"/>
      </w:pPr>
      <w:r>
        <w:t>The survey design for investigation of aquatic environments should be developed to also generate suitable data to facilitate characterisation of water quality with regard to ecological indicators.</w:t>
      </w:r>
    </w:p>
    <w:p w14:paraId="20E5941D" w14:textId="037459F6" w:rsidR="007F053D" w:rsidRDefault="002B307C" w:rsidP="005613AC">
      <w:pPr>
        <w:pStyle w:val="Subheading"/>
      </w:pPr>
      <w:r>
        <w:t>Contamination</w:t>
      </w:r>
    </w:p>
    <w:p w14:paraId="49201449" w14:textId="77777777" w:rsidR="009F239F" w:rsidRDefault="009F239F" w:rsidP="009F239F">
      <w:pPr>
        <w:pStyle w:val="ListBullet"/>
      </w:pPr>
      <w:r>
        <w:t xml:space="preserve">Based on the known agricultural land uses of the study area there is a potential for contaminated land to exist in this location. The potential areas of environmental concern and contaminants of concern can be developed by conducting a Preliminary Site Investigation (PSI) of the study area broad scale rural activity. A PSI according to the </w:t>
      </w:r>
      <w:r w:rsidRPr="009F239F">
        <w:rPr>
          <w:i/>
        </w:rPr>
        <w:t>National Environmental Protection (assessment of Site Contamination) Measure</w:t>
      </w:r>
      <w:r>
        <w:t xml:space="preserve"> (NEPM) 1999, as amended in 2013, states that a PSI will include a desktop study to collect basic site information and identify the site characteristics (site location, land use, site layout, building construction, geological and hydrogeological setting, historical land uses and activities at the site), a site inspection and interviews with current and past owners, operators and occupiers of the site and preparation of a report</w:t>
      </w:r>
    </w:p>
    <w:p w14:paraId="226FDD93" w14:textId="6EB714F3" w:rsidR="007F053D" w:rsidRDefault="009F239F" w:rsidP="009F239F">
      <w:pPr>
        <w:pStyle w:val="ListBullet"/>
      </w:pPr>
      <w:r>
        <w:t>Prior to any investigation (or similar activity) at 1880 The Northern Road, a detailed site investigation should be undertaken to characterise the nature of any contamination or hazardous materials present, and to inform development of appropriate measures to effectively manage all associated risks. The detailed investigation stage as per NEPM requirements should identify the nature of the contamination and delineate its lateral and vertical extent to a sufficient degree that an appropriate level of risk assessment may be undertaken and, if necessary, provide the basis for the development of an appropriate remediation or management strategy.</w:t>
      </w:r>
    </w:p>
    <w:p w14:paraId="6D28E2F5" w14:textId="77777777" w:rsidR="00CF35BC" w:rsidRDefault="00CF35BC" w:rsidP="005613AC">
      <w:pPr>
        <w:pStyle w:val="Subheading"/>
      </w:pPr>
      <w:r>
        <w:t>Landscape and natural heritage</w:t>
      </w:r>
    </w:p>
    <w:p w14:paraId="3C998130" w14:textId="238C9AF0" w:rsidR="00261470" w:rsidRDefault="00CF35BC" w:rsidP="00BE3216">
      <w:pPr>
        <w:pStyle w:val="ListBullet"/>
      </w:pPr>
      <w:r>
        <w:t>Any future environmental assessment(s) associated with development of the Commonwealth land at Badgerys Creek should give appropriate consideration to potential effects on the heritage values of the Greater Blue Mountains Area.</w:t>
      </w:r>
    </w:p>
    <w:p w14:paraId="4A2048F4" w14:textId="77777777" w:rsidR="003C2797" w:rsidRDefault="003C2797" w:rsidP="003C2797">
      <w:pPr>
        <w:pStyle w:val="BodyText"/>
      </w:pPr>
    </w:p>
    <w:p w14:paraId="5C1F40D9" w14:textId="77777777" w:rsidR="00261470" w:rsidRDefault="00261470" w:rsidP="00261470">
      <w:pPr>
        <w:pStyle w:val="Heading1"/>
        <w:sectPr w:rsidR="00261470" w:rsidSect="00730D83">
          <w:type w:val="continuous"/>
          <w:pgSz w:w="11900" w:h="16840"/>
          <w:pgMar w:top="1418" w:right="1418" w:bottom="1418" w:left="1418" w:header="709" w:footer="709" w:gutter="0"/>
          <w:cols w:space="708"/>
          <w:docGrid w:linePitch="360"/>
        </w:sectPr>
      </w:pPr>
    </w:p>
    <w:p w14:paraId="67FDEC2C" w14:textId="2D9F8788" w:rsidR="00261470" w:rsidRDefault="00261470" w:rsidP="00261470">
      <w:pPr>
        <w:pStyle w:val="Heading1"/>
      </w:pPr>
      <w:bookmarkStart w:id="87" w:name="_Toc400720101"/>
      <w:r>
        <w:t>References</w:t>
      </w:r>
      <w:bookmarkEnd w:id="87"/>
    </w:p>
    <w:p w14:paraId="1A042F9B" w14:textId="022BF828" w:rsidR="00DD7873" w:rsidRDefault="00DD7873" w:rsidP="00DD7873">
      <w:pPr>
        <w:pStyle w:val="BodyText"/>
      </w:pPr>
      <w:r>
        <w:t xml:space="preserve">Australian Heritage Commission 2002, </w:t>
      </w:r>
      <w:r w:rsidRPr="00DD7873">
        <w:rPr>
          <w:i/>
        </w:rPr>
        <w:t xml:space="preserve">Ask First: A guide to respecting </w:t>
      </w:r>
      <w:r w:rsidR="001C1E01">
        <w:rPr>
          <w:i/>
        </w:rPr>
        <w:t>Aboriginal</w:t>
      </w:r>
      <w:r w:rsidRPr="00DD7873">
        <w:rPr>
          <w:i/>
        </w:rPr>
        <w:t xml:space="preserve"> heritage places and values</w:t>
      </w:r>
      <w:r>
        <w:t>, Canberra, ACT.</w:t>
      </w:r>
    </w:p>
    <w:p w14:paraId="4BCC11BC" w14:textId="77777777" w:rsidR="00A4269A" w:rsidRDefault="00A4269A" w:rsidP="00A4269A">
      <w:pPr>
        <w:pStyle w:val="BodyText"/>
      </w:pPr>
      <w:r>
        <w:t xml:space="preserve">Australia ICOMOS 2013, </w:t>
      </w:r>
      <w:proofErr w:type="gramStart"/>
      <w:r w:rsidRPr="00A4269A">
        <w:rPr>
          <w:i/>
        </w:rPr>
        <w:t>The</w:t>
      </w:r>
      <w:proofErr w:type="gramEnd"/>
      <w:r w:rsidRPr="00A4269A">
        <w:rPr>
          <w:i/>
        </w:rPr>
        <w:t xml:space="preserve"> Burra Charter: The Australia ICOMOS Charter for Places of Cultural Significance</w:t>
      </w:r>
      <w:r>
        <w:t>, Burwood, VIC.</w:t>
      </w:r>
    </w:p>
    <w:p w14:paraId="0236132D" w14:textId="112ABA76" w:rsidR="00E318F0" w:rsidRDefault="00E318F0" w:rsidP="00A4269A">
      <w:pPr>
        <w:pStyle w:val="BodyText"/>
      </w:pPr>
      <w:r>
        <w:t xml:space="preserve">Australia and New Zealand Environment Conservation Council 2002, </w:t>
      </w:r>
      <w:r w:rsidRPr="00E82C51">
        <w:rPr>
          <w:i/>
        </w:rPr>
        <w:t>Guidelines for the Protection of Aquatic Ecosystems</w:t>
      </w:r>
      <w:r>
        <w:rPr>
          <w:i/>
        </w:rPr>
        <w:t xml:space="preserve">, </w:t>
      </w:r>
      <w:r>
        <w:t>ANZECC, Canberra, ACT.</w:t>
      </w:r>
    </w:p>
    <w:p w14:paraId="5482CA2E" w14:textId="6A9E8C79" w:rsidR="00F71717" w:rsidRDefault="00F71717" w:rsidP="00A4269A">
      <w:pPr>
        <w:pStyle w:val="BodyText"/>
      </w:pPr>
      <w:proofErr w:type="spellStart"/>
      <w:proofErr w:type="gramStart"/>
      <w:r>
        <w:t>Biosis</w:t>
      </w:r>
      <w:proofErr w:type="spellEnd"/>
      <w:r>
        <w:t xml:space="preserve"> Research 1997, </w:t>
      </w:r>
      <w:r w:rsidRPr="005D7179">
        <w:rPr>
          <w:i/>
        </w:rPr>
        <w:t xml:space="preserve">Technical </w:t>
      </w:r>
      <w:r>
        <w:rPr>
          <w:i/>
        </w:rPr>
        <w:t>P</w:t>
      </w:r>
      <w:r w:rsidRPr="005D7179">
        <w:rPr>
          <w:i/>
        </w:rPr>
        <w:t xml:space="preserve">aper No. </w:t>
      </w:r>
      <w:r>
        <w:rPr>
          <w:i/>
        </w:rPr>
        <w:t>8</w:t>
      </w:r>
      <w:r w:rsidRPr="005D7179">
        <w:rPr>
          <w:i/>
        </w:rPr>
        <w:t xml:space="preserve"> </w:t>
      </w:r>
      <w:r>
        <w:rPr>
          <w:i/>
        </w:rPr>
        <w:t>Flora and Fauna,</w:t>
      </w:r>
      <w:r>
        <w:t xml:space="preserve"> Sydney, NSW.</w:t>
      </w:r>
      <w:proofErr w:type="gramEnd"/>
    </w:p>
    <w:p w14:paraId="48C636A8" w14:textId="605EE605" w:rsidR="00C57542" w:rsidRDefault="00C57542" w:rsidP="000D0BEF">
      <w:pPr>
        <w:pStyle w:val="BodyText"/>
      </w:pPr>
      <w:proofErr w:type="gramStart"/>
      <w:r>
        <w:t>Cropper, S</w:t>
      </w:r>
      <w:r w:rsidRPr="00C57542">
        <w:t>C 1993</w:t>
      </w:r>
      <w:r>
        <w:t xml:space="preserve">, </w:t>
      </w:r>
      <w:r w:rsidRPr="00C57542">
        <w:rPr>
          <w:i/>
        </w:rPr>
        <w:t>Management of Endangered Plants</w:t>
      </w:r>
      <w:r w:rsidRPr="00C57542">
        <w:t>, CSIRO East Melbourne, Victoria.</w:t>
      </w:r>
      <w:proofErr w:type="gramEnd"/>
    </w:p>
    <w:p w14:paraId="6883F3AB" w14:textId="7D61411A" w:rsidR="000D0BEF" w:rsidRDefault="00B90B08" w:rsidP="000D0BEF">
      <w:pPr>
        <w:pStyle w:val="BodyText"/>
      </w:pPr>
      <w:r>
        <w:t>Department of Aviation 1985</w:t>
      </w:r>
      <w:r w:rsidR="003267BB">
        <w:t>a</w:t>
      </w:r>
      <w:r w:rsidR="00C53176">
        <w:t>,</w:t>
      </w:r>
      <w:r>
        <w:t xml:space="preserve"> </w:t>
      </w:r>
      <w:r w:rsidRPr="003267BB">
        <w:rPr>
          <w:i/>
        </w:rPr>
        <w:t>Second Sydney Airport Site Selection Programme</w:t>
      </w:r>
      <w:r w:rsidR="003267BB">
        <w:rPr>
          <w:i/>
        </w:rPr>
        <w:t>,</w:t>
      </w:r>
      <w:r w:rsidRPr="003267BB">
        <w:rPr>
          <w:i/>
        </w:rPr>
        <w:t xml:space="preserve"> </w:t>
      </w:r>
      <w:r w:rsidR="003267BB">
        <w:rPr>
          <w:i/>
        </w:rPr>
        <w:t xml:space="preserve">Draft </w:t>
      </w:r>
      <w:r w:rsidRPr="003267BB">
        <w:rPr>
          <w:i/>
        </w:rPr>
        <w:t>Environmental Impact Statement</w:t>
      </w:r>
      <w:r w:rsidR="003267BB">
        <w:t>,</w:t>
      </w:r>
      <w:r>
        <w:t xml:space="preserve"> prepared by </w:t>
      </w:r>
      <w:proofErr w:type="spellStart"/>
      <w:r>
        <w:t>Kinhill</w:t>
      </w:r>
      <w:proofErr w:type="spellEnd"/>
      <w:r>
        <w:t xml:space="preserve"> Stearns</w:t>
      </w:r>
      <w:r w:rsidR="00A4269A">
        <w:t>, April 1985, Sydney, NSW.</w:t>
      </w:r>
    </w:p>
    <w:p w14:paraId="7BA5CD40" w14:textId="1FB91D1B" w:rsidR="003267BB" w:rsidRDefault="003267BB" w:rsidP="003267BB">
      <w:pPr>
        <w:pStyle w:val="BodyText"/>
      </w:pPr>
      <w:r>
        <w:t>Department of Aviation 1985b</w:t>
      </w:r>
      <w:r w:rsidR="00C53176">
        <w:t>,</w:t>
      </w:r>
      <w:r>
        <w:t xml:space="preserve"> </w:t>
      </w:r>
      <w:r w:rsidRPr="003267BB">
        <w:rPr>
          <w:i/>
        </w:rPr>
        <w:t>Second Sydney Airport Site Selection Programme</w:t>
      </w:r>
      <w:r>
        <w:rPr>
          <w:i/>
        </w:rPr>
        <w:t>, Supplement to the</w:t>
      </w:r>
      <w:r w:rsidRPr="003267BB">
        <w:rPr>
          <w:i/>
        </w:rPr>
        <w:t xml:space="preserve"> </w:t>
      </w:r>
      <w:r>
        <w:rPr>
          <w:i/>
        </w:rPr>
        <w:t xml:space="preserve">Draft </w:t>
      </w:r>
      <w:r w:rsidRPr="003267BB">
        <w:rPr>
          <w:i/>
        </w:rPr>
        <w:t>Environmental Impact Statement</w:t>
      </w:r>
      <w:r>
        <w:t xml:space="preserve">, prepared by </w:t>
      </w:r>
      <w:proofErr w:type="spellStart"/>
      <w:r>
        <w:t>Kinhill</w:t>
      </w:r>
      <w:proofErr w:type="spellEnd"/>
      <w:r w:rsidR="00A4269A">
        <w:t xml:space="preserve"> Stearns, November 1985, Sydney, NSW.</w:t>
      </w:r>
    </w:p>
    <w:p w14:paraId="4AA181EB" w14:textId="77777777" w:rsidR="008D1367" w:rsidRDefault="008D1367" w:rsidP="008D1367">
      <w:pPr>
        <w:pStyle w:val="BodyText"/>
      </w:pPr>
      <w:r>
        <w:t xml:space="preserve">Department of the Environment 2013, </w:t>
      </w:r>
      <w:r w:rsidRPr="006E51B4">
        <w:rPr>
          <w:i/>
        </w:rPr>
        <w:t>Matters of National Environmental Significance – Significant impact guidelines 1.1</w:t>
      </w:r>
      <w:r>
        <w:t>, Australian Government Department of the Environment, Canberra, ACT.</w:t>
      </w:r>
    </w:p>
    <w:p w14:paraId="3101E48C" w14:textId="77777777" w:rsidR="008D1367" w:rsidRDefault="008D1367" w:rsidP="008D1367">
      <w:pPr>
        <w:pStyle w:val="BodyText"/>
      </w:pPr>
      <w:r>
        <w:t xml:space="preserve">Department of the Environment 2013, </w:t>
      </w:r>
      <w:r w:rsidRPr="006E51B4">
        <w:rPr>
          <w:i/>
        </w:rPr>
        <w:t>Draft EPBC Act referral guidelines for the vulnerable koala (combined populations of Queensland, New South Wales and the Australian Capital Territory)</w:t>
      </w:r>
      <w:r>
        <w:t>, Australian Government Department of the Environment, Canberra, ACT.</w:t>
      </w:r>
    </w:p>
    <w:p w14:paraId="3F176D3F" w14:textId="0480771A" w:rsidR="008D1367" w:rsidRDefault="008D1367" w:rsidP="008D1367">
      <w:pPr>
        <w:pStyle w:val="BodyText"/>
      </w:pPr>
      <w:proofErr w:type="gramStart"/>
      <w:r>
        <w:t xml:space="preserve">Department of the Environment 2013, </w:t>
      </w:r>
      <w:r w:rsidRPr="00D73D1E">
        <w:rPr>
          <w:i/>
        </w:rPr>
        <w:t>EPBC Act Policy Statement 1.1 – Significant Impact Guidelines – Matters of National Environmental Significance</w:t>
      </w:r>
      <w:r>
        <w:t>, Australian Government Department of the Environment, Canberra, ACT.</w:t>
      </w:r>
      <w:proofErr w:type="gramEnd"/>
    </w:p>
    <w:p w14:paraId="33C5A4C2" w14:textId="31294EEA" w:rsidR="00A71FFD" w:rsidRDefault="00A71FFD" w:rsidP="00A71FFD">
      <w:pPr>
        <w:pStyle w:val="BodyText"/>
      </w:pPr>
      <w:r>
        <w:t>Department of Environment and Climate Change 2009</w:t>
      </w:r>
      <w:r w:rsidR="00602E8A">
        <w:t>a</w:t>
      </w:r>
      <w:r>
        <w:t xml:space="preserve">, </w:t>
      </w:r>
      <w:r>
        <w:rPr>
          <w:i/>
        </w:rPr>
        <w:t>Hawkesbury-Nepean River Environmental Monitoring Program</w:t>
      </w:r>
      <w:r w:rsidRPr="00A71FFD">
        <w:rPr>
          <w:i/>
        </w:rPr>
        <w:t>,</w:t>
      </w:r>
      <w:r>
        <w:rPr>
          <w:i/>
        </w:rPr>
        <w:t xml:space="preserve"> </w:t>
      </w:r>
      <w:r w:rsidRPr="00A71FFD">
        <w:t>Final Technical Report</w:t>
      </w:r>
      <w:r>
        <w:t>,</w:t>
      </w:r>
      <w:r w:rsidRPr="00A71FFD">
        <w:t xml:space="preserve"> </w:t>
      </w:r>
      <w:r>
        <w:t>Sydney, NSW.</w:t>
      </w:r>
    </w:p>
    <w:p w14:paraId="5B7EFD46" w14:textId="2E044F0F" w:rsidR="00602E8A" w:rsidRDefault="00602E8A" w:rsidP="00602E8A">
      <w:pPr>
        <w:pStyle w:val="BodyText"/>
      </w:pPr>
      <w:proofErr w:type="gramStart"/>
      <w:r>
        <w:t xml:space="preserve">Department of Environment and Climate Change 2009b, </w:t>
      </w:r>
      <w:r w:rsidRPr="00602E8A">
        <w:rPr>
          <w:i/>
        </w:rPr>
        <w:t>Greater Blue Mountains World Heritage Area Strategic Plan</w:t>
      </w:r>
      <w:r>
        <w:t>,</w:t>
      </w:r>
      <w:r w:rsidRPr="00A71FFD">
        <w:t xml:space="preserve"> </w:t>
      </w:r>
      <w:r>
        <w:t>Sydney, NSW.</w:t>
      </w:r>
      <w:proofErr w:type="gramEnd"/>
    </w:p>
    <w:p w14:paraId="37CA0B64" w14:textId="3C16A48E" w:rsidR="00C822A6" w:rsidRDefault="00C822A6" w:rsidP="008D1367">
      <w:pPr>
        <w:pStyle w:val="BodyText"/>
      </w:pPr>
      <w:r>
        <w:t>Department of Environment and Conservation</w:t>
      </w:r>
      <w:r w:rsidRPr="00C822A6">
        <w:t xml:space="preserve"> 2004</w:t>
      </w:r>
      <w:r>
        <w:t>,</w:t>
      </w:r>
      <w:r w:rsidRPr="00C822A6">
        <w:t xml:space="preserve"> </w:t>
      </w:r>
      <w:r w:rsidRPr="00C822A6">
        <w:rPr>
          <w:i/>
        </w:rPr>
        <w:t>Threatened Biodiversity Survey and Assessment: Guidelines for Developments and Activities</w:t>
      </w:r>
      <w:r w:rsidRPr="00C822A6">
        <w:t>,</w:t>
      </w:r>
      <w:r>
        <w:t xml:space="preserve"> DEC,</w:t>
      </w:r>
      <w:r w:rsidRPr="00C822A6">
        <w:t xml:space="preserve"> Hurstville</w:t>
      </w:r>
      <w:r>
        <w:t>, NSW</w:t>
      </w:r>
      <w:r w:rsidRPr="00C822A6">
        <w:t>.</w:t>
      </w:r>
    </w:p>
    <w:p w14:paraId="79FD80AD" w14:textId="49778D73" w:rsidR="00176A8A" w:rsidRDefault="00176A8A" w:rsidP="008D1367">
      <w:pPr>
        <w:pStyle w:val="BodyText"/>
      </w:pPr>
      <w:proofErr w:type="gramStart"/>
      <w:r>
        <w:t xml:space="preserve">Department of Environment and Conservation 2006, </w:t>
      </w:r>
      <w:r w:rsidRPr="00176A8A">
        <w:rPr>
          <w:i/>
        </w:rPr>
        <w:t>Using the ANZECC Guidelines and Water Quality Objectives</w:t>
      </w:r>
      <w:r>
        <w:t>, Sydney, NSW.</w:t>
      </w:r>
      <w:proofErr w:type="gramEnd"/>
    </w:p>
    <w:p w14:paraId="30A98FF9" w14:textId="77777777" w:rsidR="008D1367" w:rsidRDefault="008D1367" w:rsidP="008D1367">
      <w:pPr>
        <w:pStyle w:val="BodyText"/>
      </w:pPr>
      <w:r>
        <w:t xml:space="preserve">Department of the Environment and Heritage 2003, </w:t>
      </w:r>
      <w:r w:rsidRPr="006E51B4">
        <w:rPr>
          <w:i/>
        </w:rPr>
        <w:t>EPBC Act Administrative guidelines on Significance – Supplement for the Grey-headed Flying-fox</w:t>
      </w:r>
      <w:r>
        <w:t>, Australian Government Department of the Environment and Heritage, Canberra, ACT.</w:t>
      </w:r>
    </w:p>
    <w:p w14:paraId="74051760" w14:textId="77777777" w:rsidR="008D1367" w:rsidRDefault="008D1367" w:rsidP="008D1367">
      <w:pPr>
        <w:pStyle w:val="BodyText"/>
      </w:pPr>
      <w:r>
        <w:t xml:space="preserve">Department of the Environment, Water, Heritage and the Arts 2009, </w:t>
      </w:r>
      <w:r w:rsidRPr="006E51B4">
        <w:rPr>
          <w:i/>
        </w:rPr>
        <w:t>Significant impact guidelines for the vulnerable green and golden bell frog (</w:t>
      </w:r>
      <w:proofErr w:type="spellStart"/>
      <w:r w:rsidRPr="006E51B4">
        <w:rPr>
          <w:i/>
        </w:rPr>
        <w:t>Litoria</w:t>
      </w:r>
      <w:proofErr w:type="spellEnd"/>
      <w:r w:rsidRPr="006E51B4">
        <w:rPr>
          <w:i/>
        </w:rPr>
        <w:t xml:space="preserve"> </w:t>
      </w:r>
      <w:proofErr w:type="spellStart"/>
      <w:r w:rsidRPr="006E51B4">
        <w:rPr>
          <w:i/>
        </w:rPr>
        <w:t>aurea</w:t>
      </w:r>
      <w:proofErr w:type="spellEnd"/>
      <w:r w:rsidRPr="006E51B4">
        <w:rPr>
          <w:i/>
        </w:rPr>
        <w:t>)</w:t>
      </w:r>
      <w:r>
        <w:t>, Nationally threatened species and ecological communities EPBC Act policy statement 3.19, Australian Government Department of the Environment, Water, Heritage and the Arts, Canberra, ACT.</w:t>
      </w:r>
    </w:p>
    <w:p w14:paraId="025EA881" w14:textId="77777777" w:rsidR="008D1367" w:rsidRDefault="008D1367" w:rsidP="008D1367">
      <w:pPr>
        <w:pStyle w:val="BodyText"/>
      </w:pPr>
      <w:r>
        <w:t xml:space="preserve">Department of Sustainability, Environment, Water, Population and Communities 2013, </w:t>
      </w:r>
      <w:r w:rsidRPr="008D1367">
        <w:rPr>
          <w:i/>
        </w:rPr>
        <w:t>Environment Protection and Biodiversity Conservation Act 1999 Environmental Offsets Policy</w:t>
      </w:r>
      <w:r>
        <w:t>, Australian Government Department of the Environment, Canberra, ACT.</w:t>
      </w:r>
    </w:p>
    <w:p w14:paraId="12D5C1C4" w14:textId="1A3B34CC" w:rsidR="008D1367" w:rsidRDefault="008D1367" w:rsidP="008D1367">
      <w:pPr>
        <w:pStyle w:val="BodyText"/>
      </w:pPr>
      <w:proofErr w:type="gramStart"/>
      <w:r>
        <w:t>Department of Environment, Climate Change and Water 2010</w:t>
      </w:r>
      <w:r w:rsidR="00F71717">
        <w:t>a</w:t>
      </w:r>
      <w:r>
        <w:t xml:space="preserve">, </w:t>
      </w:r>
      <w:r w:rsidRPr="008D1367">
        <w:rPr>
          <w:i/>
        </w:rPr>
        <w:t>Cumberland Plain Recovery Plan</w:t>
      </w:r>
      <w:r>
        <w:t>, DECCW, Sydney, NSW.</w:t>
      </w:r>
      <w:proofErr w:type="gramEnd"/>
    </w:p>
    <w:p w14:paraId="7E9266AD" w14:textId="1F8DC59B" w:rsidR="00C822A6" w:rsidRDefault="00C822A6" w:rsidP="008D1367">
      <w:pPr>
        <w:pStyle w:val="BodyText"/>
      </w:pPr>
      <w:r>
        <w:t>Department of Environment, Climate Change and Water 2010b,</w:t>
      </w:r>
      <w:r w:rsidRPr="00C822A6">
        <w:t xml:space="preserve"> Native Vegetation Interim Type Standard, Department of Environment, Climate Change and Water NSW, Sydney.</w:t>
      </w:r>
    </w:p>
    <w:p w14:paraId="5289DAF4" w14:textId="3D80CB07" w:rsidR="00BC5DFA" w:rsidRDefault="00BC5DFA" w:rsidP="00BC5DFA">
      <w:pPr>
        <w:pStyle w:val="BodyText"/>
      </w:pPr>
      <w:r>
        <w:t xml:space="preserve">Department of Environment, Climate Change and Water 2010c, </w:t>
      </w:r>
      <w:r w:rsidRPr="00DD7873">
        <w:rPr>
          <w:i/>
        </w:rPr>
        <w:t>Code of Practice for Archaeological Investigation of Aboriginal Objects in New South Wales</w:t>
      </w:r>
      <w:r>
        <w:t>, Sydney, NSW.</w:t>
      </w:r>
    </w:p>
    <w:p w14:paraId="4B10AB45" w14:textId="5541A727" w:rsidR="00BC5DFA" w:rsidRDefault="00BC5DFA" w:rsidP="00BC5DFA">
      <w:pPr>
        <w:pStyle w:val="BodyText"/>
      </w:pPr>
      <w:r>
        <w:t xml:space="preserve">Department of Environment, Climate Change and Water 2010d, </w:t>
      </w:r>
      <w:r w:rsidRPr="00DD7873">
        <w:rPr>
          <w:i/>
        </w:rPr>
        <w:t>Due Diligence Code of Practice for the Protection of Aboriginal Objects in New South Wales</w:t>
      </w:r>
      <w:r>
        <w:t>, Sydney, NSW.</w:t>
      </w:r>
    </w:p>
    <w:p w14:paraId="260B3017" w14:textId="37AAF7F4" w:rsidR="00BC5DFA" w:rsidRDefault="00BC5DFA" w:rsidP="00BC5DFA">
      <w:pPr>
        <w:pStyle w:val="BodyText"/>
      </w:pPr>
      <w:proofErr w:type="gramStart"/>
      <w:r>
        <w:t xml:space="preserve">Department of Environment, Climate Change and Water 2010e, </w:t>
      </w:r>
      <w:r w:rsidRPr="00DD7873">
        <w:rPr>
          <w:i/>
        </w:rPr>
        <w:t>Aboriginal cultural heritage consultation requirements for proponents</w:t>
      </w:r>
      <w:r>
        <w:t>, Sydney, NSW.</w:t>
      </w:r>
      <w:proofErr w:type="gramEnd"/>
    </w:p>
    <w:p w14:paraId="0F08697B" w14:textId="232FE4F5" w:rsidR="00587EC9" w:rsidRDefault="00587EC9" w:rsidP="00DD7873">
      <w:pPr>
        <w:pStyle w:val="BodyText"/>
      </w:pPr>
      <w:r>
        <w:t xml:space="preserve">Department of Infrastructure, Planning and Natural Resources 2002, </w:t>
      </w:r>
      <w:r w:rsidR="0064458A" w:rsidRPr="0064458A">
        <w:rPr>
          <w:i/>
        </w:rPr>
        <w:t xml:space="preserve">Guidelines to accompany Map of </w:t>
      </w:r>
      <w:r w:rsidRPr="00110799">
        <w:rPr>
          <w:i/>
        </w:rPr>
        <w:t>Salinity Potential in Western Sydney 2002</w:t>
      </w:r>
      <w:r>
        <w:t>, DIPNR, Sydney, NSW.</w:t>
      </w:r>
    </w:p>
    <w:p w14:paraId="5F3460A1" w14:textId="4F5B602A" w:rsidR="002952CA" w:rsidRDefault="002952CA" w:rsidP="00DD7873">
      <w:pPr>
        <w:pStyle w:val="BodyText"/>
      </w:pPr>
      <w:r>
        <w:t xml:space="preserve">Department of Infrastructure, Planning and Natural Resources 2002, </w:t>
      </w:r>
      <w:r w:rsidRPr="00110799">
        <w:rPr>
          <w:i/>
        </w:rPr>
        <w:t>Salinity Po</w:t>
      </w:r>
      <w:r w:rsidR="00110799" w:rsidRPr="00110799">
        <w:rPr>
          <w:i/>
        </w:rPr>
        <w:t>tential in Western Sydney 2002</w:t>
      </w:r>
      <w:r w:rsidR="00110799">
        <w:t xml:space="preserve"> (map), DIPNR, Sydney, NSW.</w:t>
      </w:r>
    </w:p>
    <w:p w14:paraId="70FB9B97" w14:textId="79F62C99" w:rsidR="009A467D" w:rsidRDefault="009A467D" w:rsidP="003267BB">
      <w:pPr>
        <w:pStyle w:val="BodyText"/>
      </w:pPr>
      <w:r>
        <w:t>Department of Infrastructure and Transport 2012</w:t>
      </w:r>
      <w:r w:rsidR="00C53176">
        <w:t>,</w:t>
      </w:r>
      <w:r>
        <w:t xml:space="preserve"> Economic and social analysis of potential airport sites, report prepared by Ernst &amp; Young, February 2012.</w:t>
      </w:r>
    </w:p>
    <w:p w14:paraId="29D50A6C" w14:textId="23CED89B" w:rsidR="00A4269A" w:rsidRDefault="00A4269A" w:rsidP="00A4269A">
      <w:pPr>
        <w:pStyle w:val="BodyText"/>
      </w:pPr>
      <w:r>
        <w:t xml:space="preserve">Department of Planning 2009, </w:t>
      </w:r>
      <w:r w:rsidRPr="00D73D1E">
        <w:rPr>
          <w:i/>
        </w:rPr>
        <w:t>Assessing Significance for Historical Archaeological Sites and Relics</w:t>
      </w:r>
      <w:r>
        <w:t>, prepared by the Heritage Branch, NSW Department of Planning, Sydney, NSW.</w:t>
      </w:r>
    </w:p>
    <w:p w14:paraId="7D62033E" w14:textId="77A0439B" w:rsidR="00FA1880" w:rsidRDefault="00FA1880" w:rsidP="00A4269A">
      <w:pPr>
        <w:pStyle w:val="BodyText"/>
      </w:pPr>
      <w:proofErr w:type="gramStart"/>
      <w:r>
        <w:t xml:space="preserve">Department of Primary Industries 2014, </w:t>
      </w:r>
      <w:r w:rsidRPr="00FA1880">
        <w:rPr>
          <w:i/>
        </w:rPr>
        <w:t>Hawkesbury–Nepean Valley Flood Management Review Stage One</w:t>
      </w:r>
      <w:r>
        <w:t>, Office of Water, Sydney, NSW.</w:t>
      </w:r>
      <w:proofErr w:type="gramEnd"/>
    </w:p>
    <w:p w14:paraId="0795F87B" w14:textId="51587452" w:rsidR="00D73D1E" w:rsidRDefault="00D73D1E" w:rsidP="00D73D1E">
      <w:pPr>
        <w:pStyle w:val="BodyText"/>
      </w:pPr>
      <w:r>
        <w:t xml:space="preserve">Department of Sustainability, Environment, Water, People and Communities 2006, </w:t>
      </w:r>
      <w:r w:rsidRPr="00D73D1E">
        <w:rPr>
          <w:i/>
        </w:rPr>
        <w:t>EPBC Act Policy Statement 1.2 – Significant Impact Guidelines – Actions on, or impacting upon, Commonwealth land, and actions by Commonwealth agencies</w:t>
      </w:r>
      <w:r>
        <w:t xml:space="preserve">, </w:t>
      </w:r>
      <w:proofErr w:type="spellStart"/>
      <w:r>
        <w:t>DSEWPaC</w:t>
      </w:r>
      <w:proofErr w:type="spellEnd"/>
      <w:r>
        <w:t>, Canberra</w:t>
      </w:r>
      <w:r w:rsidR="00A4269A">
        <w:t>, ACT</w:t>
      </w:r>
      <w:r>
        <w:t>.</w:t>
      </w:r>
    </w:p>
    <w:p w14:paraId="0E9C7EEE" w14:textId="4973489A" w:rsidR="003267BB" w:rsidRDefault="003267BB" w:rsidP="000D0BEF">
      <w:pPr>
        <w:pStyle w:val="BodyText"/>
      </w:pPr>
      <w:r>
        <w:t>Department of Transport and Regional Development 1997</w:t>
      </w:r>
      <w:r w:rsidR="00C53176">
        <w:t>,</w:t>
      </w:r>
      <w:r>
        <w:t xml:space="preserve"> </w:t>
      </w:r>
      <w:r w:rsidRPr="003267BB">
        <w:rPr>
          <w:i/>
        </w:rPr>
        <w:t>Draft Environmental Impact Statement</w:t>
      </w:r>
      <w:r>
        <w:t xml:space="preserve"> </w:t>
      </w:r>
      <w:r w:rsidRPr="003267BB">
        <w:rPr>
          <w:i/>
        </w:rPr>
        <w:t>Second Sydney Airport Proposal</w:t>
      </w:r>
      <w:r>
        <w:rPr>
          <w:i/>
        </w:rPr>
        <w:t>,</w:t>
      </w:r>
      <w:r w:rsidRPr="003267BB">
        <w:rPr>
          <w:i/>
        </w:rPr>
        <w:t xml:space="preserve"> </w:t>
      </w:r>
      <w:r>
        <w:t>(</w:t>
      </w:r>
      <w:proofErr w:type="spellStart"/>
      <w:r w:rsidR="00884F8E">
        <w:t>V</w:t>
      </w:r>
      <w:r>
        <w:t>ols</w:t>
      </w:r>
      <w:proofErr w:type="spellEnd"/>
      <w:r w:rsidR="00884F8E">
        <w:t xml:space="preserve"> 1</w:t>
      </w:r>
      <w:r w:rsidR="006A7F2B">
        <w:t xml:space="preserve">, </w:t>
      </w:r>
      <w:r w:rsidR="00884F8E">
        <w:t>2</w:t>
      </w:r>
      <w:r>
        <w:t>) prepared by PPK Environment &amp; Infrastructure, Sydney</w:t>
      </w:r>
      <w:r w:rsidR="00A4269A">
        <w:t>, NSW</w:t>
      </w:r>
      <w:r>
        <w:t>.</w:t>
      </w:r>
    </w:p>
    <w:p w14:paraId="488BB3DB" w14:textId="66B51B7A" w:rsidR="00E76940" w:rsidRDefault="00E76940" w:rsidP="00E76940">
      <w:pPr>
        <w:pStyle w:val="BodyText"/>
      </w:pPr>
      <w:r>
        <w:t xml:space="preserve">Department of Transport and Regional Services 1999, </w:t>
      </w:r>
      <w:r>
        <w:rPr>
          <w:i/>
        </w:rPr>
        <w:t xml:space="preserve">Supplement to the Draft Environmental Impact Statement </w:t>
      </w:r>
      <w:r w:rsidRPr="003267BB">
        <w:rPr>
          <w:i/>
        </w:rPr>
        <w:t>Second Sydney Airport Proposa</w:t>
      </w:r>
      <w:r>
        <w:rPr>
          <w:i/>
        </w:rPr>
        <w:t>l,</w:t>
      </w:r>
      <w:r w:rsidRPr="003267BB">
        <w:rPr>
          <w:i/>
        </w:rPr>
        <w:t xml:space="preserve"> </w:t>
      </w:r>
      <w:r w:rsidRPr="00884F8E">
        <w:t>(</w:t>
      </w:r>
      <w:proofErr w:type="spellStart"/>
      <w:r w:rsidRPr="00884F8E">
        <w:t>Vol</w:t>
      </w:r>
      <w:r>
        <w:t>s</w:t>
      </w:r>
      <w:proofErr w:type="spellEnd"/>
      <w:r w:rsidRPr="00884F8E">
        <w:t xml:space="preserve"> 3</w:t>
      </w:r>
      <w:r>
        <w:t xml:space="preserve">,4,5 </w:t>
      </w:r>
      <w:r w:rsidRPr="00884F8E">
        <w:t>)</w:t>
      </w:r>
      <w:r>
        <w:t>prepared by PPK Environment &amp; Infrastructure, Sydney</w:t>
      </w:r>
      <w:r w:rsidR="00A4269A">
        <w:t>, NSW</w:t>
      </w:r>
      <w:r>
        <w:t>.</w:t>
      </w:r>
    </w:p>
    <w:p w14:paraId="38AD4898" w14:textId="4236A735" w:rsidR="00C30C4F" w:rsidRDefault="00C30C4F" w:rsidP="00C30C4F">
      <w:pPr>
        <w:pStyle w:val="BodyText"/>
      </w:pPr>
      <w:proofErr w:type="gramStart"/>
      <w:r>
        <w:t xml:space="preserve">Department of Transport and Regional Services 2005, </w:t>
      </w:r>
      <w:r>
        <w:rPr>
          <w:i/>
        </w:rPr>
        <w:t>Heritage Strategy</w:t>
      </w:r>
      <w:r>
        <w:t>, Canberra, ACT.</w:t>
      </w:r>
      <w:proofErr w:type="gramEnd"/>
    </w:p>
    <w:p w14:paraId="769F707F" w14:textId="4CEC07DD" w:rsidR="005D7179" w:rsidRDefault="00C53176" w:rsidP="005D7179">
      <w:pPr>
        <w:pStyle w:val="BodyText"/>
      </w:pPr>
      <w:proofErr w:type="gramStart"/>
      <w:r>
        <w:t xml:space="preserve">Godden Mackay </w:t>
      </w:r>
      <w:r w:rsidR="005D7179">
        <w:t>1997</w:t>
      </w:r>
      <w:r>
        <w:t>,</w:t>
      </w:r>
      <w:r w:rsidR="005D7179">
        <w:t xml:space="preserve"> </w:t>
      </w:r>
      <w:r w:rsidR="005D7179" w:rsidRPr="005D7179">
        <w:rPr>
          <w:i/>
        </w:rPr>
        <w:t xml:space="preserve">Technical </w:t>
      </w:r>
      <w:r w:rsidR="008C4E19">
        <w:rPr>
          <w:i/>
        </w:rPr>
        <w:t>P</w:t>
      </w:r>
      <w:r w:rsidR="005D7179" w:rsidRPr="005D7179">
        <w:rPr>
          <w:i/>
        </w:rPr>
        <w:t>aper No. 12 Non-Aboriginal Cultural Heritage</w:t>
      </w:r>
      <w:r w:rsidR="005D7179">
        <w:rPr>
          <w:i/>
        </w:rPr>
        <w:t>,</w:t>
      </w:r>
      <w:r w:rsidR="005D7179">
        <w:t xml:space="preserve"> Sydney</w:t>
      </w:r>
      <w:r w:rsidR="00A4269A">
        <w:t>, NSW</w:t>
      </w:r>
      <w:r w:rsidR="005D7179">
        <w:t>.</w:t>
      </w:r>
      <w:proofErr w:type="gramEnd"/>
    </w:p>
    <w:p w14:paraId="2DB0AD8F" w14:textId="15F67C62" w:rsidR="00A4269A" w:rsidRDefault="00A4269A" w:rsidP="00A4269A">
      <w:pPr>
        <w:pStyle w:val="BodyText"/>
      </w:pPr>
      <w:proofErr w:type="gramStart"/>
      <w:r>
        <w:t xml:space="preserve">Heritage Office and Department of Urban Affairs and Planning 1996, </w:t>
      </w:r>
      <w:r w:rsidRPr="00A4269A">
        <w:rPr>
          <w:i/>
        </w:rPr>
        <w:t>NSW Heritage Manual</w:t>
      </w:r>
      <w:r>
        <w:t>, HO/DUAP, Sydney, NSW.</w:t>
      </w:r>
      <w:proofErr w:type="gramEnd"/>
    </w:p>
    <w:p w14:paraId="63FDE040" w14:textId="5B4DAF92" w:rsidR="00485319" w:rsidRDefault="00485319" w:rsidP="008C4E19">
      <w:pPr>
        <w:pStyle w:val="BodyText"/>
      </w:pPr>
      <w:proofErr w:type="gramStart"/>
      <w:r>
        <w:t xml:space="preserve">McNally, G 2009, </w:t>
      </w:r>
      <w:r w:rsidRPr="00485319">
        <w:rPr>
          <w:i/>
        </w:rPr>
        <w:t xml:space="preserve">Soil and </w:t>
      </w:r>
      <w:r>
        <w:rPr>
          <w:i/>
        </w:rPr>
        <w:t>g</w:t>
      </w:r>
      <w:r w:rsidRPr="00485319">
        <w:rPr>
          <w:i/>
        </w:rPr>
        <w:t xml:space="preserve">roundwater </w:t>
      </w:r>
      <w:r>
        <w:rPr>
          <w:i/>
        </w:rPr>
        <w:t>s</w:t>
      </w:r>
      <w:r w:rsidRPr="00485319">
        <w:rPr>
          <w:i/>
        </w:rPr>
        <w:t xml:space="preserve">alinity in the </w:t>
      </w:r>
      <w:r>
        <w:rPr>
          <w:i/>
        </w:rPr>
        <w:t>Wianamatta s</w:t>
      </w:r>
      <w:r w:rsidRPr="00485319">
        <w:rPr>
          <w:i/>
        </w:rPr>
        <w:t xml:space="preserve">hales of </w:t>
      </w:r>
      <w:r>
        <w:rPr>
          <w:i/>
        </w:rPr>
        <w:t>w</w:t>
      </w:r>
      <w:r w:rsidRPr="00485319">
        <w:rPr>
          <w:i/>
        </w:rPr>
        <w:t>estern Sydney</w:t>
      </w:r>
      <w:r>
        <w:t>, presentation to Groundwater in the Sydney Basin Symposium, 4-5 August 2009, Sydney.</w:t>
      </w:r>
      <w:proofErr w:type="gramEnd"/>
    </w:p>
    <w:p w14:paraId="139E8962" w14:textId="434EE6D7" w:rsidR="008C4E19" w:rsidRDefault="008C4E19" w:rsidP="008C4E19">
      <w:pPr>
        <w:pStyle w:val="BodyText"/>
      </w:pPr>
      <w:proofErr w:type="spellStart"/>
      <w:r>
        <w:t>Navin</w:t>
      </w:r>
      <w:proofErr w:type="spellEnd"/>
      <w:r>
        <w:t xml:space="preserve"> Officer Heritage Consultants 1997</w:t>
      </w:r>
      <w:r w:rsidR="00C53176">
        <w:t>,</w:t>
      </w:r>
      <w:r>
        <w:t xml:space="preserve"> </w:t>
      </w:r>
      <w:r w:rsidRPr="005D7179">
        <w:rPr>
          <w:i/>
        </w:rPr>
        <w:t xml:space="preserve">Technical </w:t>
      </w:r>
      <w:r>
        <w:rPr>
          <w:i/>
        </w:rPr>
        <w:t>P</w:t>
      </w:r>
      <w:r w:rsidRPr="005D7179">
        <w:rPr>
          <w:i/>
        </w:rPr>
        <w:t>aper No. 1</w:t>
      </w:r>
      <w:r>
        <w:rPr>
          <w:i/>
        </w:rPr>
        <w:t>1</w:t>
      </w:r>
      <w:r w:rsidRPr="005D7179">
        <w:rPr>
          <w:i/>
        </w:rPr>
        <w:t xml:space="preserve"> Aboriginal Cultural Heritage</w:t>
      </w:r>
      <w:r>
        <w:rPr>
          <w:i/>
        </w:rPr>
        <w:t>,</w:t>
      </w:r>
      <w:r>
        <w:t xml:space="preserve"> Canberra</w:t>
      </w:r>
      <w:r w:rsidR="00A4269A">
        <w:t>, ACT</w:t>
      </w:r>
      <w:r>
        <w:t>.</w:t>
      </w:r>
    </w:p>
    <w:p w14:paraId="12559E41" w14:textId="01E218DB" w:rsidR="006C0A3E" w:rsidRDefault="006C0A3E" w:rsidP="008C4E19">
      <w:pPr>
        <w:pStyle w:val="BodyText"/>
      </w:pPr>
      <w:r w:rsidRPr="006C0A3E">
        <w:t>National Parks and Wildlife Service 1997</w:t>
      </w:r>
      <w:r w:rsidR="00BC5DFA">
        <w:t>a</w:t>
      </w:r>
      <w:r w:rsidRPr="006C0A3E">
        <w:t xml:space="preserve">, </w:t>
      </w:r>
      <w:r w:rsidRPr="006C0A3E">
        <w:rPr>
          <w:i/>
        </w:rPr>
        <w:t>Western Sydney Urban Bushland Biodiversity Survey</w:t>
      </w:r>
      <w:r w:rsidRPr="006C0A3E">
        <w:t>, N</w:t>
      </w:r>
      <w:r>
        <w:t>PWS, Hurstville, NSW.</w:t>
      </w:r>
    </w:p>
    <w:p w14:paraId="59E03730" w14:textId="2D7DC1E5" w:rsidR="00BC5DFA" w:rsidRDefault="00BC5DFA" w:rsidP="008C4E19">
      <w:pPr>
        <w:pStyle w:val="BodyText"/>
      </w:pPr>
      <w:r w:rsidRPr="00BC5DFA">
        <w:t>National Parks and Wildlife Service 1997</w:t>
      </w:r>
      <w:r>
        <w:t>b,</w:t>
      </w:r>
      <w:r w:rsidRPr="00BC5DFA">
        <w:t xml:space="preserve"> </w:t>
      </w:r>
      <w:r w:rsidRPr="00BC5DFA">
        <w:rPr>
          <w:i/>
        </w:rPr>
        <w:t>Aboriginal Cultural Heritage Standards &amp; Guidelines Kit</w:t>
      </w:r>
      <w:r w:rsidRPr="00BC5DFA">
        <w:t xml:space="preserve">, </w:t>
      </w:r>
      <w:r w:rsidRPr="006C0A3E">
        <w:t>N</w:t>
      </w:r>
      <w:r>
        <w:t>PWS, Hurstville, NSW.</w:t>
      </w:r>
    </w:p>
    <w:p w14:paraId="56B03BF2" w14:textId="6A666655" w:rsidR="00D44F1D" w:rsidRDefault="00D44F1D" w:rsidP="00944825">
      <w:pPr>
        <w:pStyle w:val="BodyText"/>
      </w:pPr>
      <w:r w:rsidRPr="006C0A3E">
        <w:t xml:space="preserve">National Parks and Wildlife Service </w:t>
      </w:r>
      <w:r>
        <w:t>2002,</w:t>
      </w:r>
      <w:r w:rsidRPr="00D44F1D">
        <w:t xml:space="preserve"> </w:t>
      </w:r>
      <w:r w:rsidRPr="00D44F1D">
        <w:rPr>
          <w:i/>
        </w:rPr>
        <w:t>Interpretation Guidelines for the Native Vegetation Maps of the Cumberland Plain, Western Sydney</w:t>
      </w:r>
      <w:r w:rsidRPr="00D44F1D">
        <w:t>, Final Edition</w:t>
      </w:r>
      <w:r>
        <w:t>,</w:t>
      </w:r>
      <w:r w:rsidRPr="00D44F1D">
        <w:t xml:space="preserve"> N</w:t>
      </w:r>
      <w:r>
        <w:t>PWS</w:t>
      </w:r>
      <w:r w:rsidRPr="00D44F1D">
        <w:t>, Hurstville</w:t>
      </w:r>
      <w:r>
        <w:t>, NSW</w:t>
      </w:r>
      <w:r w:rsidRPr="00D44F1D">
        <w:t>.</w:t>
      </w:r>
    </w:p>
    <w:p w14:paraId="01C27D3F" w14:textId="70C02016" w:rsidR="008D39DF" w:rsidRDefault="008D39DF" w:rsidP="00944825">
      <w:pPr>
        <w:pStyle w:val="BodyText"/>
      </w:pPr>
      <w:r w:rsidRPr="008D39DF">
        <w:t>Natural Resource Management Ministerial Council</w:t>
      </w:r>
      <w:r>
        <w:t xml:space="preserve"> 2007, </w:t>
      </w:r>
      <w:r w:rsidRPr="008D39DF">
        <w:rPr>
          <w:i/>
        </w:rPr>
        <w:t>Australian Weeds Strategy – A national strategy for weed management in Australia</w:t>
      </w:r>
      <w:r>
        <w:rPr>
          <w:i/>
        </w:rPr>
        <w:t>,</w:t>
      </w:r>
      <w:r>
        <w:t xml:space="preserve"> </w:t>
      </w:r>
      <w:r w:rsidR="00944825">
        <w:t>Australian Government Department of the Environment and Water Resources,</w:t>
      </w:r>
      <w:r>
        <w:t xml:space="preserve"> Canberra, ACT.</w:t>
      </w:r>
    </w:p>
    <w:p w14:paraId="662AC65F" w14:textId="51943687" w:rsidR="008D39DF" w:rsidRDefault="008D39DF" w:rsidP="008D39DF">
      <w:pPr>
        <w:pStyle w:val="BodyText"/>
      </w:pPr>
      <w:r>
        <w:t xml:space="preserve">National Resource Management Ministerial Council 2010, </w:t>
      </w:r>
      <w:r w:rsidRPr="008D39DF">
        <w:rPr>
          <w:i/>
        </w:rPr>
        <w:t>Australia’s Biodiversity Conservation Strategy 2010-2030</w:t>
      </w:r>
      <w:r>
        <w:t>, Australian Government Department of Sustainability, Environment, Water, Population and Communities, Canberra, ACT.</w:t>
      </w:r>
    </w:p>
    <w:p w14:paraId="6105E14A" w14:textId="77777777" w:rsidR="0043103B" w:rsidRDefault="0043103B" w:rsidP="0043103B">
      <w:pPr>
        <w:pStyle w:val="BodyText"/>
      </w:pPr>
      <w:r>
        <w:t xml:space="preserve">NSW Government 2013, </w:t>
      </w:r>
      <w:r w:rsidRPr="0043103B">
        <w:rPr>
          <w:i/>
        </w:rPr>
        <w:t>Hawkesbury-Nepean River Recovery Program - Final Report</w:t>
      </w:r>
      <w:r>
        <w:t>, NSW Department of Primary Industries, Office of Water, Sydney, NSW.</w:t>
      </w:r>
    </w:p>
    <w:p w14:paraId="56E188FA" w14:textId="44FA98FA" w:rsidR="00A4269A" w:rsidRDefault="00A4269A" w:rsidP="00A4269A">
      <w:pPr>
        <w:pStyle w:val="BodyText"/>
      </w:pPr>
      <w:r>
        <w:t xml:space="preserve">NSW Heritage Office 2001, </w:t>
      </w:r>
      <w:r w:rsidRPr="00A4269A">
        <w:rPr>
          <w:i/>
        </w:rPr>
        <w:t xml:space="preserve">NSW Heritage Manual: </w:t>
      </w:r>
      <w:r w:rsidRPr="0042326B">
        <w:rPr>
          <w:i/>
        </w:rPr>
        <w:t xml:space="preserve">Assessing Heritage Significance, </w:t>
      </w:r>
      <w:r>
        <w:t>Version 2, NSW Heritage Office, Sydney, NSW.</w:t>
      </w:r>
    </w:p>
    <w:p w14:paraId="4EA5FDF4" w14:textId="77777777" w:rsidR="00351996" w:rsidRDefault="00351996" w:rsidP="00351996">
      <w:pPr>
        <w:pStyle w:val="BodyText"/>
      </w:pPr>
      <w:r>
        <w:t xml:space="preserve">Rae, DJ 2007, </w:t>
      </w:r>
      <w:r w:rsidRPr="00AA07C9">
        <w:rPr>
          <w:i/>
        </w:rPr>
        <w:t>Water Management in South Creek Catchment: Current state, issues and challenges</w:t>
      </w:r>
      <w:r>
        <w:t>, CRC for Irrigation Futures Technical Report No. 12/07, Sydney, NSW.</w:t>
      </w:r>
    </w:p>
    <w:p w14:paraId="2A6E0ECA" w14:textId="08FD0B1E" w:rsidR="00182143" w:rsidRDefault="00182143" w:rsidP="00351996">
      <w:pPr>
        <w:pStyle w:val="BodyText"/>
      </w:pPr>
      <w:r>
        <w:t xml:space="preserve">Ribbons, S, Pinto, M, Evans, N, &amp; Nunn, P 2013, </w:t>
      </w:r>
      <w:r w:rsidRPr="00182143">
        <w:rPr>
          <w:i/>
        </w:rPr>
        <w:t>Assessing cumulative flood risk in large urban release areas in the Camden local government area in Sydney’s south west</w:t>
      </w:r>
      <w:r>
        <w:t>, paper presented at 53</w:t>
      </w:r>
      <w:r w:rsidRPr="00182143">
        <w:rPr>
          <w:vertAlign w:val="superscript"/>
        </w:rPr>
        <w:t>rd</w:t>
      </w:r>
      <w:r w:rsidR="000808E0">
        <w:rPr>
          <w:vertAlign w:val="superscript"/>
        </w:rPr>
        <w:t> </w:t>
      </w:r>
      <w:r>
        <w:t xml:space="preserve">Floodplain Management Association conference, </w:t>
      </w:r>
      <w:r w:rsidRPr="00182143">
        <w:t>28</w:t>
      </w:r>
      <w:r>
        <w:t>–</w:t>
      </w:r>
      <w:r w:rsidRPr="00182143">
        <w:t>31 May 2013</w:t>
      </w:r>
      <w:r>
        <w:t>,Tweed Heads, NSW.</w:t>
      </w:r>
    </w:p>
    <w:p w14:paraId="2410C03C" w14:textId="400A553B" w:rsidR="00E318F0" w:rsidRDefault="00E318F0" w:rsidP="00E318F0">
      <w:pPr>
        <w:pStyle w:val="BodyText"/>
      </w:pPr>
      <w:r>
        <w:t xml:space="preserve">Robyn Tuft and Associates 1997, </w:t>
      </w:r>
      <w:r w:rsidRPr="00E82C51">
        <w:rPr>
          <w:i/>
        </w:rPr>
        <w:t>Technical Paper 7: Geology, Soils and Water</w:t>
      </w:r>
      <w:r>
        <w:rPr>
          <w:i/>
        </w:rPr>
        <w:t>,</w:t>
      </w:r>
      <w:r>
        <w:t xml:space="preserve"> Canberra, ACT.</w:t>
      </w:r>
    </w:p>
    <w:p w14:paraId="510C6084" w14:textId="1FE3967F" w:rsidR="00351996" w:rsidRDefault="00351996" w:rsidP="000D0BEF">
      <w:pPr>
        <w:pStyle w:val="BodyText"/>
      </w:pPr>
      <w:r>
        <w:t xml:space="preserve">Singh, R, </w:t>
      </w:r>
      <w:proofErr w:type="spellStart"/>
      <w:r>
        <w:t>Nawarathna</w:t>
      </w:r>
      <w:proofErr w:type="spellEnd"/>
      <w:r>
        <w:t xml:space="preserve">, B, Simmons, B, </w:t>
      </w:r>
      <w:proofErr w:type="spellStart"/>
      <w:r>
        <w:t>Maheshwari</w:t>
      </w:r>
      <w:proofErr w:type="spellEnd"/>
      <w:r>
        <w:t xml:space="preserve">, B &amp; </w:t>
      </w:r>
      <w:proofErr w:type="spellStart"/>
      <w:r>
        <w:t>Malano</w:t>
      </w:r>
      <w:proofErr w:type="spellEnd"/>
      <w:r>
        <w:t xml:space="preserve">, HM, 2009 </w:t>
      </w:r>
      <w:r w:rsidRPr="00351996">
        <w:rPr>
          <w:i/>
        </w:rPr>
        <w:t>Understanding the Water Cycle of the South Creek Catchment in Western Sydney, Part1: Catchment Description and Preliminary Water Balance Analysis</w:t>
      </w:r>
      <w:r>
        <w:t>, CRC for Irrigation Futures Technical Report No. 05/09, Sydney, NSW.</w:t>
      </w:r>
    </w:p>
    <w:p w14:paraId="2DA33062" w14:textId="5CCB849D" w:rsidR="000D0BEF" w:rsidRDefault="000D0BEF" w:rsidP="000D0BEF">
      <w:pPr>
        <w:pStyle w:val="BodyText"/>
      </w:pPr>
      <w:r>
        <w:t>SMEC Australia 1998</w:t>
      </w:r>
      <w:r w:rsidR="00C53176">
        <w:t>,</w:t>
      </w:r>
      <w:r>
        <w:t xml:space="preserve"> </w:t>
      </w:r>
      <w:r w:rsidRPr="000D0BEF">
        <w:rPr>
          <w:i/>
        </w:rPr>
        <w:t>Draft Environmental Impact Statement Second Sydney Airport Proposal</w:t>
      </w:r>
      <w:r>
        <w:t>, Auditor’s Report, January 1998, Sydney</w:t>
      </w:r>
      <w:r w:rsidR="00A4269A">
        <w:t>, NSW</w:t>
      </w:r>
      <w:r>
        <w:t>.</w:t>
      </w:r>
    </w:p>
    <w:p w14:paraId="135A36BE" w14:textId="06AB540E" w:rsidR="00261470" w:rsidRDefault="009E0513" w:rsidP="00BE3216">
      <w:pPr>
        <w:pStyle w:val="BodyText"/>
      </w:pPr>
      <w:r>
        <w:t>SMEC Australia 1999</w:t>
      </w:r>
      <w:r w:rsidR="00C53176">
        <w:t>,</w:t>
      </w:r>
      <w:r>
        <w:t xml:space="preserve"> </w:t>
      </w:r>
      <w:r w:rsidRPr="000D0BEF">
        <w:rPr>
          <w:i/>
        </w:rPr>
        <w:t>Supplement to Draft Environmental Impact Statement Second Sydney Airport Proposal</w:t>
      </w:r>
      <w:r>
        <w:t>, Auditor’s Report, June 1999, Sydney</w:t>
      </w:r>
      <w:r w:rsidR="00A4269A">
        <w:t>, NSW</w:t>
      </w:r>
      <w:r>
        <w:t>.</w:t>
      </w:r>
    </w:p>
    <w:p w14:paraId="64C10D93" w14:textId="74F47D24" w:rsidR="009378DC" w:rsidRDefault="009A467D" w:rsidP="00BE3216">
      <w:pPr>
        <w:pStyle w:val="BodyText"/>
      </w:pPr>
      <w:r w:rsidRPr="009A467D">
        <w:t>Steering Committee</w:t>
      </w:r>
      <w:r>
        <w:t xml:space="preserve"> 2012</w:t>
      </w:r>
      <w:r w:rsidR="00C53176">
        <w:t>,</w:t>
      </w:r>
      <w:r w:rsidRPr="009A467D">
        <w:t xml:space="preserve"> </w:t>
      </w:r>
      <w:r w:rsidRPr="009A467D">
        <w:rPr>
          <w:i/>
        </w:rPr>
        <w:t>Joint Study on Aviation Capacity in the Sydney Region</w:t>
      </w:r>
      <w:r w:rsidRPr="009A467D">
        <w:t>, Australian Government</w:t>
      </w:r>
      <w:r>
        <w:t xml:space="preserve"> and NSW Government, March 2012.</w:t>
      </w:r>
    </w:p>
    <w:p w14:paraId="2043632E" w14:textId="431E0C9F" w:rsidR="009C01D2" w:rsidRDefault="00351996" w:rsidP="00BE3216">
      <w:pPr>
        <w:pStyle w:val="BodyText"/>
      </w:pPr>
      <w:r>
        <w:t xml:space="preserve">Sydney Water 2012, </w:t>
      </w:r>
      <w:r w:rsidRPr="00351996">
        <w:rPr>
          <w:i/>
        </w:rPr>
        <w:t>Case Study: Long Term Water Quality Trends in the Hawkesbury-Nepean River (1994-2011)</w:t>
      </w:r>
      <w:r>
        <w:t xml:space="preserve">, Sewage Treatment System Impact Monitoring Program, </w:t>
      </w:r>
      <w:proofErr w:type="spellStart"/>
      <w:r>
        <w:t>Vol</w:t>
      </w:r>
      <w:proofErr w:type="spellEnd"/>
      <w:r>
        <w:t xml:space="preserve"> IV , Sydney Water, Sydney, NSW.</w:t>
      </w:r>
    </w:p>
    <w:p w14:paraId="5440A391" w14:textId="77777777" w:rsidR="009C01D2" w:rsidRDefault="009C01D2" w:rsidP="00BE3216">
      <w:pPr>
        <w:pStyle w:val="BodyText"/>
      </w:pPr>
    </w:p>
    <w:p w14:paraId="3300D5D1" w14:textId="77777777" w:rsidR="009378DC" w:rsidRDefault="009378DC" w:rsidP="00BE3216">
      <w:pPr>
        <w:pStyle w:val="BodyText"/>
        <w:sectPr w:rsidR="009378DC" w:rsidSect="009378DC">
          <w:type w:val="oddPage"/>
          <w:pgSz w:w="11900" w:h="16840"/>
          <w:pgMar w:top="1418" w:right="1418" w:bottom="1418" w:left="1418" w:header="709" w:footer="709" w:gutter="0"/>
          <w:cols w:space="708"/>
          <w:docGrid w:linePitch="360"/>
        </w:sectPr>
      </w:pPr>
    </w:p>
    <w:p w14:paraId="5AF0B178" w14:textId="71459195" w:rsidR="00C232F8" w:rsidRDefault="00C232F8" w:rsidP="00C232F8">
      <w:pPr>
        <w:pStyle w:val="Heading-Appendix"/>
      </w:pPr>
      <w:r>
        <w:br/>
      </w:r>
      <w:bookmarkStart w:id="88" w:name="_Toc400720102"/>
      <w:bookmarkStart w:id="89" w:name="Appendix_A"/>
      <w:r>
        <w:t xml:space="preserve">Biodiversity </w:t>
      </w:r>
      <w:r w:rsidR="0010414E">
        <w:t>R</w:t>
      </w:r>
      <w:r w:rsidR="009B550A">
        <w:t>e</w:t>
      </w:r>
      <w:r w:rsidR="0010414E">
        <w:t>port</w:t>
      </w:r>
      <w:bookmarkEnd w:id="88"/>
      <w:bookmarkEnd w:id="89"/>
    </w:p>
    <w:p w14:paraId="6C0B87B6" w14:textId="0EE36AB1" w:rsidR="00C232F8" w:rsidRDefault="00A67A7C" w:rsidP="00BE3216">
      <w:pPr>
        <w:pStyle w:val="BodyText"/>
      </w:pPr>
      <w:r>
        <w:t>This report has been provided separately for the web-accessible version.</w:t>
      </w:r>
    </w:p>
    <w:p w14:paraId="3D1FC89E" w14:textId="77777777" w:rsidR="00A67A7C" w:rsidRDefault="00A67A7C" w:rsidP="00BE3216">
      <w:pPr>
        <w:pStyle w:val="BodyText"/>
      </w:pPr>
    </w:p>
    <w:p w14:paraId="3A459A2A" w14:textId="77777777" w:rsidR="00B51169" w:rsidRDefault="00B51169" w:rsidP="00BE3216">
      <w:pPr>
        <w:pStyle w:val="BodyText"/>
        <w:sectPr w:rsidR="00B51169" w:rsidSect="00261470">
          <w:headerReference w:type="even" r:id="rId29"/>
          <w:headerReference w:type="default" r:id="rId30"/>
          <w:footerReference w:type="default" r:id="rId31"/>
          <w:headerReference w:type="first" r:id="rId32"/>
          <w:type w:val="oddPage"/>
          <w:pgSz w:w="11900" w:h="16840"/>
          <w:pgMar w:top="1418" w:right="1418" w:bottom="1418" w:left="1418" w:header="709" w:footer="709" w:gutter="0"/>
          <w:pgNumType w:start="1"/>
          <w:cols w:space="708"/>
          <w:docGrid w:linePitch="360"/>
        </w:sectPr>
      </w:pPr>
    </w:p>
    <w:p w14:paraId="02C294F5" w14:textId="7EADFB46" w:rsidR="00C232F8" w:rsidRDefault="00C232F8" w:rsidP="00C232F8">
      <w:pPr>
        <w:pStyle w:val="Heading-Appendix"/>
      </w:pPr>
      <w:r>
        <w:br/>
      </w:r>
      <w:bookmarkStart w:id="90" w:name="_Toc400720103"/>
      <w:bookmarkStart w:id="91" w:name="Appendix_B"/>
      <w:r w:rsidR="002643B0">
        <w:t>Historic</w:t>
      </w:r>
      <w:r>
        <w:t xml:space="preserve"> Heritage </w:t>
      </w:r>
      <w:r w:rsidR="002643B0">
        <w:t>Report</w:t>
      </w:r>
      <w:bookmarkEnd w:id="90"/>
      <w:bookmarkEnd w:id="91"/>
    </w:p>
    <w:p w14:paraId="525F25CE" w14:textId="149D1CB9" w:rsidR="00B51169" w:rsidRDefault="00A67A7C" w:rsidP="00BE3216">
      <w:pPr>
        <w:pStyle w:val="BodyText"/>
      </w:pPr>
      <w:r>
        <w:t>This report has been provided separately for the web-accessible version.</w:t>
      </w:r>
    </w:p>
    <w:p w14:paraId="64E1D47A" w14:textId="77777777" w:rsidR="00A67A7C" w:rsidRDefault="00A67A7C" w:rsidP="00BE3216">
      <w:pPr>
        <w:pStyle w:val="BodyText"/>
      </w:pPr>
    </w:p>
    <w:p w14:paraId="1146763C" w14:textId="77777777" w:rsidR="00B51169" w:rsidRDefault="00B51169" w:rsidP="00BE3216">
      <w:pPr>
        <w:pStyle w:val="BodyText"/>
        <w:sectPr w:rsidR="00B51169" w:rsidSect="00261470">
          <w:type w:val="oddPage"/>
          <w:pgSz w:w="11900" w:h="16840"/>
          <w:pgMar w:top="1418" w:right="1418" w:bottom="1418" w:left="1418" w:header="709" w:footer="709" w:gutter="0"/>
          <w:pgNumType w:start="1"/>
          <w:cols w:space="708"/>
          <w:docGrid w:linePitch="360"/>
        </w:sectPr>
      </w:pPr>
    </w:p>
    <w:p w14:paraId="32D13CEB" w14:textId="58BB38A0" w:rsidR="00C232F8" w:rsidRDefault="00C232F8" w:rsidP="00C232F8">
      <w:pPr>
        <w:pStyle w:val="Heading-Appendix"/>
      </w:pPr>
      <w:r>
        <w:br/>
      </w:r>
      <w:bookmarkStart w:id="92" w:name="_Toc400720104"/>
      <w:bookmarkStart w:id="93" w:name="Appendix_C"/>
      <w:r>
        <w:t>Aboriginal Heritage Report</w:t>
      </w:r>
      <w:bookmarkEnd w:id="92"/>
      <w:bookmarkEnd w:id="93"/>
    </w:p>
    <w:p w14:paraId="7DA2A06A" w14:textId="0C4987B4" w:rsidR="00B51169" w:rsidRDefault="00A67A7C" w:rsidP="00BE3216">
      <w:pPr>
        <w:pStyle w:val="BodyText"/>
      </w:pPr>
      <w:r>
        <w:t>This report has been provided separately for the web-accessible version.</w:t>
      </w:r>
    </w:p>
    <w:p w14:paraId="6A63A8A4" w14:textId="77777777" w:rsidR="00A67A7C" w:rsidRDefault="00A67A7C" w:rsidP="00BE3216">
      <w:pPr>
        <w:pStyle w:val="BodyText"/>
      </w:pPr>
    </w:p>
    <w:p w14:paraId="4A6EA1EA" w14:textId="77777777" w:rsidR="00B51169" w:rsidRDefault="00B51169" w:rsidP="00BE3216">
      <w:pPr>
        <w:pStyle w:val="BodyText"/>
        <w:sectPr w:rsidR="00B51169" w:rsidSect="00261470">
          <w:type w:val="oddPage"/>
          <w:pgSz w:w="11900" w:h="16840"/>
          <w:pgMar w:top="1418" w:right="1418" w:bottom="1418" w:left="1418" w:header="709" w:footer="709" w:gutter="0"/>
          <w:pgNumType w:start="1"/>
          <w:cols w:space="708"/>
          <w:docGrid w:linePitch="360"/>
        </w:sectPr>
      </w:pPr>
    </w:p>
    <w:p w14:paraId="05B398AB" w14:textId="18C35E27" w:rsidR="00BE3216" w:rsidRDefault="005720AC" w:rsidP="005720AC">
      <w:pPr>
        <w:pStyle w:val="Heading-Appendix"/>
      </w:pPr>
      <w:r>
        <w:br/>
      </w:r>
      <w:bookmarkStart w:id="94" w:name="_Toc400720105"/>
      <w:bookmarkStart w:id="95" w:name="Appendix_D"/>
      <w:r>
        <w:t>Risk Assessment</w:t>
      </w:r>
      <w:bookmarkEnd w:id="94"/>
      <w:bookmarkEnd w:id="95"/>
    </w:p>
    <w:p w14:paraId="4F9DB8EB" w14:textId="2610E5A9" w:rsidR="00B51169" w:rsidRDefault="00A67A7C" w:rsidP="005720AC">
      <w:pPr>
        <w:pStyle w:val="BodyText"/>
      </w:pPr>
      <w:r>
        <w:t>This has been provided separately for the web-accessible version.</w:t>
      </w:r>
    </w:p>
    <w:p w14:paraId="7BE7BBFC" w14:textId="77777777" w:rsidR="00A67A7C" w:rsidRDefault="00A67A7C" w:rsidP="005720AC">
      <w:pPr>
        <w:pStyle w:val="BodyText"/>
      </w:pPr>
    </w:p>
    <w:p w14:paraId="1C502A2C" w14:textId="77777777" w:rsidR="00B51169" w:rsidRDefault="00B51169" w:rsidP="005720AC">
      <w:pPr>
        <w:pStyle w:val="BodyText"/>
        <w:sectPr w:rsidR="00B51169" w:rsidSect="00261470">
          <w:type w:val="oddPage"/>
          <w:pgSz w:w="11900" w:h="16840"/>
          <w:pgMar w:top="1418" w:right="1418" w:bottom="1418" w:left="1418" w:header="709" w:footer="709" w:gutter="0"/>
          <w:pgNumType w:start="1"/>
          <w:cols w:space="708"/>
          <w:docGrid w:linePitch="360"/>
        </w:sectPr>
      </w:pPr>
    </w:p>
    <w:p w14:paraId="12F31B79" w14:textId="77DC2BA1" w:rsidR="005720AC" w:rsidRDefault="00382766" w:rsidP="00382766">
      <w:pPr>
        <w:pStyle w:val="Heading-Appendix"/>
      </w:pPr>
      <w:r>
        <w:br/>
      </w:r>
      <w:bookmarkStart w:id="96" w:name="_Toc400720106"/>
      <w:bookmarkStart w:id="97" w:name="Appendix_E"/>
      <w:r w:rsidR="00F71717">
        <w:t>Water Quality Analysi</w:t>
      </w:r>
      <w:r>
        <w:t>s</w:t>
      </w:r>
      <w:bookmarkEnd w:id="96"/>
      <w:r w:rsidR="00F71717">
        <w:t xml:space="preserve"> results</w:t>
      </w:r>
      <w:bookmarkEnd w:id="97"/>
    </w:p>
    <w:p w14:paraId="527CFE20" w14:textId="04653E63" w:rsidR="00B51169" w:rsidRDefault="00A67A7C" w:rsidP="00B51169">
      <w:pPr>
        <w:pStyle w:val="BodyText"/>
      </w:pPr>
      <w:r>
        <w:t>This has been provided separately for the web-accessible version.</w:t>
      </w:r>
    </w:p>
    <w:p w14:paraId="666D265A" w14:textId="77777777" w:rsidR="00A67A7C" w:rsidRDefault="00A67A7C" w:rsidP="00B51169">
      <w:pPr>
        <w:pStyle w:val="BodyText"/>
      </w:pPr>
    </w:p>
    <w:p w14:paraId="202DE8FE" w14:textId="77777777" w:rsidR="00B51169" w:rsidRDefault="00B51169" w:rsidP="00B51169">
      <w:pPr>
        <w:pStyle w:val="BodyText"/>
        <w:sectPr w:rsidR="00B51169" w:rsidSect="00261470">
          <w:type w:val="oddPage"/>
          <w:pgSz w:w="11900" w:h="16840"/>
          <w:pgMar w:top="1418" w:right="1418" w:bottom="1418" w:left="1418" w:header="709" w:footer="709" w:gutter="0"/>
          <w:pgNumType w:start="1"/>
          <w:cols w:space="708"/>
          <w:docGrid w:linePitch="360"/>
        </w:sectPr>
      </w:pPr>
    </w:p>
    <w:p w14:paraId="7BDD0595" w14:textId="77777777" w:rsidR="007E4DDC" w:rsidRDefault="003F0FA4" w:rsidP="005D2964">
      <w:pPr>
        <w:pStyle w:val="Heading1-NoTOC"/>
      </w:pPr>
      <w:r>
        <w:t>DOCUMENT/RE</w:t>
      </w:r>
      <w:r w:rsidR="0088266F" w:rsidRPr="0088266F">
        <w:t>PORT CONTROL FORM</w:t>
      </w:r>
    </w:p>
    <w:p w14:paraId="692C0E67" w14:textId="77777777" w:rsidR="007B060E" w:rsidRPr="007B060E" w:rsidRDefault="007B060E" w:rsidP="007B060E">
      <w:pPr>
        <w:pStyle w:val="BodyText"/>
      </w:pPr>
    </w:p>
    <w:tbl>
      <w:tblPr>
        <w:tblStyle w:val="TableGrid"/>
        <w:tblW w:w="8931" w:type="dxa"/>
        <w:tblLook w:val="04A0" w:firstRow="1" w:lastRow="0" w:firstColumn="1" w:lastColumn="0" w:noHBand="0" w:noVBand="1"/>
        <w:tblCaption w:val="Document control information"/>
        <w:tblDescription w:val="Document control information"/>
      </w:tblPr>
      <w:tblGrid>
        <w:gridCol w:w="2011"/>
        <w:gridCol w:w="6920"/>
      </w:tblGrid>
      <w:tr w:rsidR="007E4DDC" w:rsidRPr="00ED29F6" w14:paraId="1F51EA1B" w14:textId="77777777" w:rsidTr="00730D83">
        <w:trPr>
          <w:trHeight w:val="454"/>
          <w:tblHeader/>
        </w:trPr>
        <w:tc>
          <w:tcPr>
            <w:tcW w:w="2011" w:type="dxa"/>
          </w:tcPr>
          <w:p w14:paraId="5A316733" w14:textId="77777777" w:rsidR="007E4DDC" w:rsidRPr="00806F5D" w:rsidRDefault="007E4DDC" w:rsidP="00617F30">
            <w:pPr>
              <w:rPr>
                <w:b/>
                <w:color w:val="E36C0A" w:themeColor="accent1"/>
              </w:rPr>
            </w:pPr>
            <w:r w:rsidRPr="00806F5D">
              <w:rPr>
                <w:b/>
                <w:color w:val="E36C0A" w:themeColor="accent1"/>
              </w:rPr>
              <w:t>File Location Name:</w:t>
            </w:r>
          </w:p>
        </w:tc>
        <w:tc>
          <w:tcPr>
            <w:tcW w:w="6920" w:type="dxa"/>
          </w:tcPr>
          <w:p w14:paraId="3450EAF1" w14:textId="77777777" w:rsidR="007E4DDC" w:rsidRPr="00E9218C" w:rsidRDefault="001C525C" w:rsidP="00617F30">
            <w:fldSimple w:instr=" FILENAME  \p  \* MERGEFORMAT ">
              <w:r w:rsidR="004E469D">
                <w:rPr>
                  <w:noProof/>
                </w:rPr>
                <w:t>\\AUSYFP01\Group\projects\3001806 - Badgerys Creek Studies\009 FinalReport\Final report\WCAG documents\Badgerys Creek Environmental Survey Main Report.docx</w:t>
              </w:r>
            </w:fldSimple>
          </w:p>
        </w:tc>
      </w:tr>
      <w:tr w:rsidR="007E4DDC" w:rsidRPr="00A25718" w14:paraId="1A395131" w14:textId="77777777" w:rsidTr="00806F5D">
        <w:trPr>
          <w:trHeight w:val="454"/>
        </w:trPr>
        <w:tc>
          <w:tcPr>
            <w:tcW w:w="2011" w:type="dxa"/>
          </w:tcPr>
          <w:p w14:paraId="248EDD62" w14:textId="77777777" w:rsidR="007E4DDC" w:rsidRPr="00806F5D" w:rsidRDefault="007E4DDC" w:rsidP="00617F30">
            <w:pPr>
              <w:rPr>
                <w:b/>
                <w:color w:val="E36C0A" w:themeColor="accent1"/>
              </w:rPr>
            </w:pPr>
            <w:r w:rsidRPr="00806F5D">
              <w:rPr>
                <w:b/>
                <w:color w:val="E36C0A" w:themeColor="accent1"/>
              </w:rPr>
              <w:t>Project Name:</w:t>
            </w:r>
          </w:p>
        </w:tc>
        <w:tc>
          <w:tcPr>
            <w:tcW w:w="6920" w:type="dxa"/>
          </w:tcPr>
          <w:p w14:paraId="17CFCEB2" w14:textId="61737352" w:rsidR="007E4DDC" w:rsidRPr="00E9218C" w:rsidRDefault="0010414E" w:rsidP="00617F30">
            <w:bookmarkStart w:id="98" w:name="TBL_ProjectName"/>
            <w:bookmarkEnd w:id="98"/>
            <w:r w:rsidRPr="00E9218C">
              <w:t xml:space="preserve">Badgerys Creek </w:t>
            </w:r>
            <w:r w:rsidR="00E9218C" w:rsidRPr="00E9218C">
              <w:t>Environmental Investigation</w:t>
            </w:r>
          </w:p>
        </w:tc>
      </w:tr>
      <w:tr w:rsidR="007E4DDC" w:rsidRPr="00A25718" w14:paraId="01E08382" w14:textId="77777777" w:rsidTr="00806F5D">
        <w:trPr>
          <w:trHeight w:val="454"/>
        </w:trPr>
        <w:tc>
          <w:tcPr>
            <w:tcW w:w="2011" w:type="dxa"/>
          </w:tcPr>
          <w:p w14:paraId="23EC8611" w14:textId="77777777" w:rsidR="007E4DDC" w:rsidRPr="00806F5D" w:rsidRDefault="007E4DDC" w:rsidP="00617F30">
            <w:pPr>
              <w:rPr>
                <w:b/>
                <w:color w:val="E36C0A" w:themeColor="accent1"/>
              </w:rPr>
            </w:pPr>
            <w:r w:rsidRPr="00806F5D">
              <w:rPr>
                <w:b/>
                <w:color w:val="E36C0A" w:themeColor="accent1"/>
              </w:rPr>
              <w:t>Project Number:</w:t>
            </w:r>
          </w:p>
        </w:tc>
        <w:tc>
          <w:tcPr>
            <w:tcW w:w="6920" w:type="dxa"/>
          </w:tcPr>
          <w:p w14:paraId="43DFF5AB" w14:textId="1F8964EC" w:rsidR="007E4DDC" w:rsidRPr="00E9218C" w:rsidRDefault="00E9218C" w:rsidP="00617F30">
            <w:bookmarkStart w:id="99" w:name="TBL_ProjectNumber"/>
            <w:bookmarkEnd w:id="99"/>
            <w:r w:rsidRPr="00E9218C">
              <w:t>3001806</w:t>
            </w:r>
          </w:p>
        </w:tc>
      </w:tr>
      <w:tr w:rsidR="007E4DDC" w:rsidRPr="00A25718" w14:paraId="185DA087" w14:textId="77777777" w:rsidTr="00806F5D">
        <w:trPr>
          <w:trHeight w:val="454"/>
        </w:trPr>
        <w:tc>
          <w:tcPr>
            <w:tcW w:w="2011" w:type="dxa"/>
          </w:tcPr>
          <w:p w14:paraId="1D21B24C" w14:textId="77777777" w:rsidR="007E4DDC" w:rsidRPr="00806F5D" w:rsidRDefault="007E4DDC" w:rsidP="00617F30">
            <w:pPr>
              <w:rPr>
                <w:b/>
                <w:color w:val="E36C0A" w:themeColor="accent1"/>
              </w:rPr>
            </w:pPr>
            <w:r w:rsidRPr="00806F5D">
              <w:rPr>
                <w:b/>
                <w:color w:val="E36C0A" w:themeColor="accent1"/>
              </w:rPr>
              <w:t>Revision Number:</w:t>
            </w:r>
          </w:p>
        </w:tc>
        <w:tc>
          <w:tcPr>
            <w:tcW w:w="6920" w:type="dxa"/>
          </w:tcPr>
          <w:p w14:paraId="30C1DD90" w14:textId="109B18E5" w:rsidR="007E4DDC" w:rsidRPr="00E9218C" w:rsidRDefault="00053BCC" w:rsidP="00617F30">
            <w:r>
              <w:t>1</w:t>
            </w:r>
          </w:p>
        </w:tc>
      </w:tr>
    </w:tbl>
    <w:p w14:paraId="5AE40BE5" w14:textId="77777777" w:rsidR="007E4DDC" w:rsidRDefault="007E4DDC" w:rsidP="007E4DDC"/>
    <w:p w14:paraId="79A93A83" w14:textId="77777777" w:rsidR="007E4DDC" w:rsidRPr="00696F19" w:rsidRDefault="00591923" w:rsidP="007E4DDC">
      <w:r>
        <w:t>R</w:t>
      </w:r>
      <w:r w:rsidR="007E4DDC">
        <w:t xml:space="preserve">evision </w:t>
      </w:r>
      <w:r>
        <w:t>H</w:t>
      </w:r>
      <w:r w:rsidR="007E4DDC">
        <w:t>istory</w:t>
      </w:r>
    </w:p>
    <w:tbl>
      <w:tblPr>
        <w:tblStyle w:val="TableGrid"/>
        <w:tblW w:w="8926" w:type="dxa"/>
        <w:tblLayout w:type="fixed"/>
        <w:tblLook w:val="01E0" w:firstRow="1" w:lastRow="1" w:firstColumn="1" w:lastColumn="1" w:noHBand="0" w:noVBand="0"/>
        <w:tblCaption w:val="Document revision history"/>
        <w:tblDescription w:val="Document revision history"/>
      </w:tblPr>
      <w:tblGrid>
        <w:gridCol w:w="1101"/>
        <w:gridCol w:w="1414"/>
        <w:gridCol w:w="1920"/>
        <w:gridCol w:w="1920"/>
        <w:gridCol w:w="2571"/>
      </w:tblGrid>
      <w:tr w:rsidR="007E4DDC" w:rsidRPr="00684FCE" w14:paraId="0C09C3F4" w14:textId="77777777" w:rsidTr="00730D83">
        <w:trPr>
          <w:trHeight w:val="322"/>
          <w:tblHeader/>
        </w:trPr>
        <w:tc>
          <w:tcPr>
            <w:tcW w:w="1101" w:type="dxa"/>
          </w:tcPr>
          <w:p w14:paraId="6C36AA20" w14:textId="4181104F" w:rsidR="007E4DDC" w:rsidRPr="00806F5D" w:rsidRDefault="007E4DDC" w:rsidP="004348B9">
            <w:pPr>
              <w:pStyle w:val="TableHeader"/>
              <w:jc w:val="center"/>
            </w:pPr>
            <w:r w:rsidRPr="00806F5D">
              <w:t>Rev #</w:t>
            </w:r>
          </w:p>
        </w:tc>
        <w:tc>
          <w:tcPr>
            <w:tcW w:w="1414" w:type="dxa"/>
          </w:tcPr>
          <w:p w14:paraId="08297541" w14:textId="77777777" w:rsidR="007E4DDC" w:rsidRPr="00806F5D" w:rsidRDefault="007E4DDC" w:rsidP="004348B9">
            <w:pPr>
              <w:pStyle w:val="TableHeader"/>
              <w:jc w:val="center"/>
            </w:pPr>
            <w:r w:rsidRPr="00806F5D">
              <w:t>Date</w:t>
            </w:r>
          </w:p>
        </w:tc>
        <w:tc>
          <w:tcPr>
            <w:tcW w:w="1920" w:type="dxa"/>
          </w:tcPr>
          <w:p w14:paraId="3983FA2F" w14:textId="77777777" w:rsidR="007E4DDC" w:rsidRPr="00806F5D" w:rsidRDefault="007E4DDC" w:rsidP="00E9218C">
            <w:pPr>
              <w:pStyle w:val="TableHeader"/>
            </w:pPr>
            <w:r w:rsidRPr="00806F5D">
              <w:t>Prepared by</w:t>
            </w:r>
          </w:p>
        </w:tc>
        <w:tc>
          <w:tcPr>
            <w:tcW w:w="1920" w:type="dxa"/>
          </w:tcPr>
          <w:p w14:paraId="1721A010" w14:textId="77777777" w:rsidR="007E4DDC" w:rsidRPr="00806F5D" w:rsidRDefault="007E4DDC" w:rsidP="00E9218C">
            <w:pPr>
              <w:pStyle w:val="TableHeader"/>
            </w:pPr>
            <w:r w:rsidRPr="00806F5D">
              <w:t>Reviewed by</w:t>
            </w:r>
          </w:p>
        </w:tc>
        <w:tc>
          <w:tcPr>
            <w:tcW w:w="2571" w:type="dxa"/>
          </w:tcPr>
          <w:p w14:paraId="00064821" w14:textId="77777777" w:rsidR="007E4DDC" w:rsidRPr="00806F5D" w:rsidRDefault="007E4DDC" w:rsidP="00E9218C">
            <w:pPr>
              <w:pStyle w:val="TableHeader"/>
            </w:pPr>
            <w:r w:rsidRPr="00806F5D">
              <w:t>Approved for Issue by</w:t>
            </w:r>
          </w:p>
        </w:tc>
      </w:tr>
      <w:tr w:rsidR="007E4DDC" w:rsidRPr="00D823CB" w14:paraId="1C016E4C" w14:textId="77777777" w:rsidTr="004348B9">
        <w:trPr>
          <w:trHeight w:val="510"/>
        </w:trPr>
        <w:tc>
          <w:tcPr>
            <w:tcW w:w="1101" w:type="dxa"/>
          </w:tcPr>
          <w:p w14:paraId="6DAF1053" w14:textId="00D519BF" w:rsidR="007E4DDC" w:rsidRPr="004348B9" w:rsidRDefault="00E9218C" w:rsidP="004348B9">
            <w:pPr>
              <w:pStyle w:val="TableBody"/>
              <w:jc w:val="center"/>
            </w:pPr>
            <w:r w:rsidRPr="004348B9">
              <w:t>0</w:t>
            </w:r>
          </w:p>
        </w:tc>
        <w:tc>
          <w:tcPr>
            <w:tcW w:w="1414" w:type="dxa"/>
          </w:tcPr>
          <w:p w14:paraId="70123FD9" w14:textId="0A8B5F1F" w:rsidR="007E4DDC" w:rsidRPr="004348B9" w:rsidRDefault="00053BCC" w:rsidP="004348B9">
            <w:pPr>
              <w:pStyle w:val="TableBody"/>
              <w:jc w:val="center"/>
            </w:pPr>
            <w:r>
              <w:t>24</w:t>
            </w:r>
            <w:r w:rsidR="004348B9" w:rsidRPr="004348B9">
              <w:t>-10-2014</w:t>
            </w:r>
          </w:p>
        </w:tc>
        <w:tc>
          <w:tcPr>
            <w:tcW w:w="1920" w:type="dxa"/>
          </w:tcPr>
          <w:p w14:paraId="07284DAA" w14:textId="2371DF0D" w:rsidR="007E4DDC" w:rsidRPr="004348B9" w:rsidRDefault="004348B9" w:rsidP="004348B9">
            <w:pPr>
              <w:pStyle w:val="TableBody"/>
            </w:pPr>
            <w:r w:rsidRPr="004348B9">
              <w:t>Chris Masters</w:t>
            </w:r>
          </w:p>
        </w:tc>
        <w:tc>
          <w:tcPr>
            <w:tcW w:w="1920" w:type="dxa"/>
          </w:tcPr>
          <w:p w14:paraId="3038208A" w14:textId="5055614B" w:rsidR="007E4DDC" w:rsidRPr="004348B9" w:rsidRDefault="00053BCC" w:rsidP="004348B9">
            <w:pPr>
              <w:pStyle w:val="TableBody"/>
            </w:pPr>
            <w:r>
              <w:t>Joy Duncan</w:t>
            </w:r>
          </w:p>
        </w:tc>
        <w:tc>
          <w:tcPr>
            <w:tcW w:w="2571" w:type="dxa"/>
          </w:tcPr>
          <w:p w14:paraId="7445274B" w14:textId="76825043" w:rsidR="007E4DDC" w:rsidRPr="004348B9" w:rsidRDefault="00053BCC" w:rsidP="004348B9">
            <w:pPr>
              <w:pStyle w:val="TableBody"/>
            </w:pPr>
            <w:r>
              <w:t>Chris Masters</w:t>
            </w:r>
          </w:p>
        </w:tc>
      </w:tr>
      <w:tr w:rsidR="00053BCC" w:rsidRPr="009A0697" w14:paraId="3D4B7A6E" w14:textId="77777777" w:rsidTr="004348B9">
        <w:trPr>
          <w:trHeight w:val="510"/>
        </w:trPr>
        <w:tc>
          <w:tcPr>
            <w:tcW w:w="1101" w:type="dxa"/>
          </w:tcPr>
          <w:p w14:paraId="7DF10B6F" w14:textId="004E0844" w:rsidR="00053BCC" w:rsidRPr="00EA114B" w:rsidRDefault="00053BCC" w:rsidP="004348B9">
            <w:pPr>
              <w:pStyle w:val="TableBody"/>
              <w:jc w:val="center"/>
            </w:pPr>
            <w:r>
              <w:t>1</w:t>
            </w:r>
          </w:p>
        </w:tc>
        <w:tc>
          <w:tcPr>
            <w:tcW w:w="1414" w:type="dxa"/>
          </w:tcPr>
          <w:p w14:paraId="23509983" w14:textId="360724B6" w:rsidR="00053BCC" w:rsidRPr="00EA114B" w:rsidRDefault="00053BCC" w:rsidP="004348B9">
            <w:pPr>
              <w:pStyle w:val="TableBody"/>
              <w:jc w:val="center"/>
            </w:pPr>
            <w:r>
              <w:t>30</w:t>
            </w:r>
            <w:r w:rsidRPr="004348B9">
              <w:t>-10-2014</w:t>
            </w:r>
          </w:p>
        </w:tc>
        <w:tc>
          <w:tcPr>
            <w:tcW w:w="1920" w:type="dxa"/>
          </w:tcPr>
          <w:p w14:paraId="661DF78D" w14:textId="1C300FD1" w:rsidR="00053BCC" w:rsidRPr="00EA114B" w:rsidRDefault="00053BCC" w:rsidP="004348B9">
            <w:pPr>
              <w:pStyle w:val="TableBody"/>
            </w:pPr>
            <w:r w:rsidRPr="004348B9">
              <w:t>Chris Masters</w:t>
            </w:r>
          </w:p>
        </w:tc>
        <w:tc>
          <w:tcPr>
            <w:tcW w:w="1920" w:type="dxa"/>
          </w:tcPr>
          <w:p w14:paraId="26AEC892" w14:textId="7ADB82BD" w:rsidR="00053BCC" w:rsidRPr="00EA114B" w:rsidRDefault="00053BCC" w:rsidP="004348B9">
            <w:pPr>
              <w:pStyle w:val="TableBody"/>
            </w:pPr>
            <w:r>
              <w:t>Joy Duncan</w:t>
            </w:r>
          </w:p>
        </w:tc>
        <w:tc>
          <w:tcPr>
            <w:tcW w:w="2571" w:type="dxa"/>
          </w:tcPr>
          <w:p w14:paraId="1A51558B" w14:textId="5233873E" w:rsidR="00053BCC" w:rsidRPr="00EA114B" w:rsidRDefault="00053BCC" w:rsidP="004348B9">
            <w:pPr>
              <w:pStyle w:val="TableBody"/>
            </w:pPr>
            <w:r>
              <w:t>Chris Masters</w:t>
            </w:r>
          </w:p>
        </w:tc>
      </w:tr>
    </w:tbl>
    <w:p w14:paraId="55BE9F66" w14:textId="77777777" w:rsidR="007E4DDC" w:rsidRDefault="007E4DDC" w:rsidP="007E4DDC"/>
    <w:p w14:paraId="0CF5E5AC" w14:textId="77777777" w:rsidR="007E4DDC" w:rsidRPr="00684FCE" w:rsidRDefault="00591923" w:rsidP="007E4DDC">
      <w:r>
        <w:t>Issue Register</w:t>
      </w:r>
    </w:p>
    <w:tbl>
      <w:tblPr>
        <w:tblStyle w:val="TableGrid"/>
        <w:tblW w:w="8926" w:type="dxa"/>
        <w:tblLayout w:type="fixed"/>
        <w:tblLook w:val="01E0" w:firstRow="1" w:lastRow="1" w:firstColumn="1" w:lastColumn="1" w:noHBand="0" w:noVBand="0"/>
        <w:tblCaption w:val="Document issue register"/>
        <w:tblDescription w:val="Document issue register"/>
      </w:tblPr>
      <w:tblGrid>
        <w:gridCol w:w="4673"/>
        <w:gridCol w:w="1985"/>
        <w:gridCol w:w="2268"/>
      </w:tblGrid>
      <w:tr w:rsidR="007E4DDC" w:rsidRPr="009A0697" w14:paraId="37D19B8C" w14:textId="77777777" w:rsidTr="00730D83">
        <w:trPr>
          <w:trHeight w:val="369"/>
          <w:tblHeader/>
        </w:trPr>
        <w:tc>
          <w:tcPr>
            <w:tcW w:w="4673" w:type="dxa"/>
          </w:tcPr>
          <w:p w14:paraId="5078B440" w14:textId="77777777" w:rsidR="007E4DDC" w:rsidRPr="00806F5D" w:rsidRDefault="007E4DDC" w:rsidP="00E9218C">
            <w:pPr>
              <w:pStyle w:val="TableHeader"/>
            </w:pPr>
            <w:r w:rsidRPr="00806F5D">
              <w:t>Distribution List</w:t>
            </w:r>
          </w:p>
        </w:tc>
        <w:tc>
          <w:tcPr>
            <w:tcW w:w="1985" w:type="dxa"/>
          </w:tcPr>
          <w:p w14:paraId="41A7E101" w14:textId="77777777" w:rsidR="007E4DDC" w:rsidRPr="00806F5D" w:rsidRDefault="007E4DDC" w:rsidP="004348B9">
            <w:pPr>
              <w:pStyle w:val="TableHeader"/>
              <w:jc w:val="center"/>
            </w:pPr>
            <w:r w:rsidRPr="00806F5D">
              <w:t>Date Issued</w:t>
            </w:r>
          </w:p>
        </w:tc>
        <w:tc>
          <w:tcPr>
            <w:tcW w:w="2268" w:type="dxa"/>
          </w:tcPr>
          <w:p w14:paraId="606FB076" w14:textId="77777777" w:rsidR="007E4DDC" w:rsidRPr="00806F5D" w:rsidRDefault="007E4DDC" w:rsidP="004348B9">
            <w:pPr>
              <w:pStyle w:val="TableHeader"/>
              <w:jc w:val="center"/>
            </w:pPr>
            <w:r w:rsidRPr="00806F5D">
              <w:t>Number of Copies</w:t>
            </w:r>
          </w:p>
        </w:tc>
      </w:tr>
      <w:tr w:rsidR="004348B9" w:rsidRPr="009A0697" w14:paraId="6D359FCA" w14:textId="77777777" w:rsidTr="00806F5D">
        <w:trPr>
          <w:trHeight w:val="400"/>
        </w:trPr>
        <w:tc>
          <w:tcPr>
            <w:tcW w:w="4673" w:type="dxa"/>
          </w:tcPr>
          <w:p w14:paraId="7F492D49" w14:textId="74AE8616" w:rsidR="004348B9" w:rsidRPr="004348B9" w:rsidRDefault="004348B9" w:rsidP="004348B9">
            <w:pPr>
              <w:pStyle w:val="TableBody"/>
            </w:pPr>
            <w:bookmarkStart w:id="100" w:name="TBL_ClientName"/>
            <w:bookmarkEnd w:id="100"/>
            <w:r w:rsidRPr="004348B9">
              <w:t>Western Sydney Unit</w:t>
            </w:r>
            <w:r w:rsidRPr="004348B9">
              <w:br/>
            </w:r>
            <w:proofErr w:type="spellStart"/>
            <w:r w:rsidRPr="004348B9">
              <w:t>Dept</w:t>
            </w:r>
            <w:proofErr w:type="spellEnd"/>
            <w:r w:rsidRPr="004348B9">
              <w:t xml:space="preserve"> of Investment and Regional Development</w:t>
            </w:r>
          </w:p>
        </w:tc>
        <w:tc>
          <w:tcPr>
            <w:tcW w:w="1985" w:type="dxa"/>
          </w:tcPr>
          <w:p w14:paraId="355B4B25" w14:textId="7D91DA5F" w:rsidR="004348B9" w:rsidRPr="004348B9" w:rsidRDefault="00F940B2" w:rsidP="004348B9">
            <w:pPr>
              <w:pStyle w:val="TableBody"/>
              <w:jc w:val="center"/>
            </w:pPr>
            <w:r w:rsidRPr="00F940B2">
              <w:t>30-10-2014</w:t>
            </w:r>
          </w:p>
        </w:tc>
        <w:tc>
          <w:tcPr>
            <w:tcW w:w="2268" w:type="dxa"/>
          </w:tcPr>
          <w:p w14:paraId="0A5EAD93" w14:textId="683F7AEF" w:rsidR="004348B9" w:rsidRPr="004348B9" w:rsidRDefault="00F940B2" w:rsidP="004348B9">
            <w:pPr>
              <w:pStyle w:val="TableBody"/>
              <w:jc w:val="center"/>
            </w:pPr>
            <w:r>
              <w:t>1 (electronic)</w:t>
            </w:r>
            <w:r>
              <w:br/>
              <w:t>3 (printed)</w:t>
            </w:r>
          </w:p>
        </w:tc>
      </w:tr>
      <w:tr w:rsidR="007E4DDC" w:rsidRPr="009A0697" w14:paraId="1D603C68" w14:textId="77777777" w:rsidTr="00806F5D">
        <w:trPr>
          <w:trHeight w:val="400"/>
        </w:trPr>
        <w:tc>
          <w:tcPr>
            <w:tcW w:w="4673" w:type="dxa"/>
          </w:tcPr>
          <w:p w14:paraId="407C37AD" w14:textId="77777777" w:rsidR="007E4DDC" w:rsidRPr="004348B9" w:rsidRDefault="007E4DDC" w:rsidP="004348B9">
            <w:pPr>
              <w:pStyle w:val="TableBody"/>
            </w:pPr>
            <w:bookmarkStart w:id="101" w:name="TBL_ClientTown"/>
            <w:bookmarkEnd w:id="101"/>
            <w:r w:rsidRPr="004348B9">
              <w:t>SMEC Project File</w:t>
            </w:r>
          </w:p>
        </w:tc>
        <w:tc>
          <w:tcPr>
            <w:tcW w:w="1985" w:type="dxa"/>
          </w:tcPr>
          <w:p w14:paraId="7870C9C7" w14:textId="204C72A0" w:rsidR="007E4DDC" w:rsidRPr="004348B9" w:rsidRDefault="00F940B2" w:rsidP="004348B9">
            <w:pPr>
              <w:pStyle w:val="TableBody"/>
              <w:jc w:val="center"/>
            </w:pPr>
            <w:r w:rsidRPr="00F940B2">
              <w:t>30-10-2014</w:t>
            </w:r>
          </w:p>
        </w:tc>
        <w:tc>
          <w:tcPr>
            <w:tcW w:w="2268" w:type="dxa"/>
          </w:tcPr>
          <w:p w14:paraId="19F9C0A5" w14:textId="2FD6386C" w:rsidR="007E4DDC" w:rsidRPr="004348B9" w:rsidRDefault="00F940B2" w:rsidP="004348B9">
            <w:pPr>
              <w:pStyle w:val="TableBody"/>
              <w:jc w:val="center"/>
            </w:pPr>
            <w:r>
              <w:t>1 (electronic)</w:t>
            </w:r>
          </w:p>
        </w:tc>
      </w:tr>
    </w:tbl>
    <w:p w14:paraId="0FFA19AE" w14:textId="77777777" w:rsidR="007E4DDC" w:rsidRDefault="007E4DDC" w:rsidP="007E4DDC"/>
    <w:p w14:paraId="08B7EF06" w14:textId="77777777" w:rsidR="007E4DDC" w:rsidRDefault="007E4DDC" w:rsidP="007E4DDC">
      <w:r w:rsidRPr="00684FCE">
        <w:t xml:space="preserve">SMEC </w:t>
      </w:r>
      <w:r w:rsidR="00591923">
        <w:t>Company Details</w:t>
      </w:r>
    </w:p>
    <w:p w14:paraId="0AC3D3C3" w14:textId="1C89A8F7" w:rsidR="00730D83" w:rsidRPr="00730D83" w:rsidRDefault="00730D83" w:rsidP="007E4DDC">
      <w:pPr>
        <w:rPr>
          <w:b/>
          <w:color w:val="E36C0A" w:themeColor="accent6"/>
        </w:rPr>
      </w:pPr>
      <w:r w:rsidRPr="00730D83">
        <w:rPr>
          <w:b/>
          <w:color w:val="E36C0A" w:themeColor="accent6"/>
        </w:rPr>
        <w:t>James Phillis, Regional Manager, Central Region</w:t>
      </w:r>
    </w:p>
    <w:p w14:paraId="6823DE39" w14:textId="4247C08C" w:rsidR="00730D83" w:rsidRPr="00684FCE" w:rsidRDefault="00730D83" w:rsidP="007E4DDC">
      <w:r w:rsidRPr="004348B9">
        <w:t>L5, 20 Berry Street, North Sydney</w:t>
      </w:r>
    </w:p>
    <w:tbl>
      <w:tblPr>
        <w:tblStyle w:val="TableGrid"/>
        <w:tblW w:w="8931" w:type="dxa"/>
        <w:tblLook w:val="01E0" w:firstRow="1" w:lastRow="1" w:firstColumn="1" w:lastColumn="1" w:noHBand="0" w:noVBand="0"/>
        <w:tblCaption w:val="SMEC contact details"/>
        <w:tblDescription w:val="SMEC contact details"/>
      </w:tblPr>
      <w:tblGrid>
        <w:gridCol w:w="811"/>
        <w:gridCol w:w="3387"/>
        <w:gridCol w:w="1113"/>
        <w:gridCol w:w="3620"/>
      </w:tblGrid>
      <w:tr w:rsidR="004348B9" w:rsidRPr="00EA3E7C" w14:paraId="10AF9650" w14:textId="77777777" w:rsidTr="00730D83">
        <w:trPr>
          <w:tblHeader/>
        </w:trPr>
        <w:tc>
          <w:tcPr>
            <w:tcW w:w="811" w:type="dxa"/>
          </w:tcPr>
          <w:p w14:paraId="6D9704CD" w14:textId="77777777" w:rsidR="004348B9" w:rsidRPr="007D4F0C" w:rsidRDefault="004348B9" w:rsidP="00617F30">
            <w:bookmarkStart w:id="102" w:name="TBL_CompanyName"/>
            <w:bookmarkEnd w:id="102"/>
            <w:r w:rsidRPr="007D4F0C">
              <w:t>Tel:</w:t>
            </w:r>
          </w:p>
        </w:tc>
        <w:tc>
          <w:tcPr>
            <w:tcW w:w="3387" w:type="dxa"/>
          </w:tcPr>
          <w:p w14:paraId="55A02448" w14:textId="19C84136" w:rsidR="004348B9" w:rsidRPr="00EA114B" w:rsidRDefault="004348B9" w:rsidP="004348B9">
            <w:r w:rsidRPr="004348B9">
              <w:t>+61 2 9925 5555</w:t>
            </w:r>
          </w:p>
        </w:tc>
        <w:tc>
          <w:tcPr>
            <w:tcW w:w="1113" w:type="dxa"/>
          </w:tcPr>
          <w:p w14:paraId="7B9CC913" w14:textId="77777777" w:rsidR="004348B9" w:rsidRPr="00EA114B" w:rsidRDefault="004348B9" w:rsidP="004348B9">
            <w:pPr>
              <w:pStyle w:val="TableBody"/>
            </w:pPr>
            <w:r>
              <w:t>Fax:</w:t>
            </w:r>
          </w:p>
        </w:tc>
        <w:tc>
          <w:tcPr>
            <w:tcW w:w="3620" w:type="dxa"/>
          </w:tcPr>
          <w:p w14:paraId="48DAE5D2" w14:textId="57D63600" w:rsidR="004348B9" w:rsidRPr="004348B9" w:rsidRDefault="004348B9" w:rsidP="004348B9">
            <w:pPr>
              <w:pStyle w:val="TableBody"/>
            </w:pPr>
            <w:r w:rsidRPr="004348B9">
              <w:t xml:space="preserve">+61 2 </w:t>
            </w:r>
            <w:r>
              <w:t>9925 5556</w:t>
            </w:r>
          </w:p>
        </w:tc>
      </w:tr>
      <w:tr w:rsidR="004348B9" w:rsidRPr="00EA3E7C" w14:paraId="1BD57E9B" w14:textId="77777777" w:rsidTr="004348B9">
        <w:tc>
          <w:tcPr>
            <w:tcW w:w="811" w:type="dxa"/>
          </w:tcPr>
          <w:p w14:paraId="3B26398E" w14:textId="77777777" w:rsidR="004348B9" w:rsidRPr="007D4F0C" w:rsidRDefault="004348B9" w:rsidP="00617F30">
            <w:r w:rsidRPr="007D4F0C">
              <w:t>Email:</w:t>
            </w:r>
          </w:p>
        </w:tc>
        <w:tc>
          <w:tcPr>
            <w:tcW w:w="3387" w:type="dxa"/>
          </w:tcPr>
          <w:p w14:paraId="447AC2CB" w14:textId="0CE8AE37" w:rsidR="004348B9" w:rsidRPr="00EA114B" w:rsidRDefault="008A7C19" w:rsidP="004348B9">
            <w:hyperlink r:id="rId33" w:history="1">
              <w:r w:rsidR="004348B9" w:rsidRPr="00B85B8A">
                <w:rPr>
                  <w:rStyle w:val="Hyperlink"/>
                </w:rPr>
                <w:t>sydney@smec.com</w:t>
              </w:r>
            </w:hyperlink>
          </w:p>
        </w:tc>
        <w:tc>
          <w:tcPr>
            <w:tcW w:w="1113" w:type="dxa"/>
          </w:tcPr>
          <w:p w14:paraId="348FC727" w14:textId="77777777" w:rsidR="004348B9" w:rsidRPr="00EA114B" w:rsidRDefault="004348B9" w:rsidP="004348B9">
            <w:pPr>
              <w:pStyle w:val="TableBody"/>
            </w:pPr>
            <w:r>
              <w:t>Website:</w:t>
            </w:r>
          </w:p>
        </w:tc>
        <w:tc>
          <w:tcPr>
            <w:tcW w:w="3620" w:type="dxa"/>
          </w:tcPr>
          <w:p w14:paraId="0AD8021B" w14:textId="77777777" w:rsidR="004348B9" w:rsidRPr="004348B9" w:rsidRDefault="008A7C19" w:rsidP="004348B9">
            <w:pPr>
              <w:pStyle w:val="TableBody"/>
            </w:pPr>
            <w:hyperlink r:id="rId34" w:history="1">
              <w:r w:rsidR="004348B9" w:rsidRPr="004348B9">
                <w:rPr>
                  <w:rStyle w:val="Hyperlink"/>
                </w:rPr>
                <w:t>www.smec.com</w:t>
              </w:r>
            </w:hyperlink>
            <w:r w:rsidR="004348B9" w:rsidRPr="004348B9">
              <w:t xml:space="preserve"> </w:t>
            </w:r>
          </w:p>
        </w:tc>
      </w:tr>
    </w:tbl>
    <w:p w14:paraId="6866CE02" w14:textId="77777777" w:rsidR="007E4DDC" w:rsidRDefault="007E4DDC" w:rsidP="007E4DDC"/>
    <w:p w14:paraId="4AFA0A6D" w14:textId="7DFB65CC" w:rsidR="007E4DDC" w:rsidRPr="004348B9" w:rsidRDefault="007E4DDC" w:rsidP="007E4DDC">
      <w:r w:rsidRPr="007D4F0C">
        <w:t>The information within this document is and shall remain the property of</w:t>
      </w:r>
      <w:r w:rsidR="004348B9" w:rsidRPr="004348B9">
        <w:t xml:space="preserve"> </w:t>
      </w:r>
      <w:r w:rsidR="004348B9">
        <w:t xml:space="preserve">the </w:t>
      </w:r>
      <w:r w:rsidR="004348B9" w:rsidRPr="004348B9">
        <w:t>Dep</w:t>
      </w:r>
      <w:r w:rsidR="004348B9">
        <w:t xml:space="preserve">artment </w:t>
      </w:r>
      <w:r w:rsidR="004348B9" w:rsidRPr="004348B9">
        <w:t>of Investment and Regional Development</w:t>
      </w:r>
      <w:r w:rsidR="004348B9">
        <w:t>.</w:t>
      </w:r>
    </w:p>
    <w:sectPr w:rsidR="007E4DDC" w:rsidRPr="004348B9" w:rsidSect="005E2E96">
      <w:headerReference w:type="even" r:id="rId35"/>
      <w:headerReference w:type="default" r:id="rId36"/>
      <w:headerReference w:type="first" r:id="rId37"/>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989FE41" w14:textId="77777777" w:rsidR="004E469D" w:rsidRPr="00B42979" w:rsidRDefault="004E469D" w:rsidP="00B42979">
      <w:pPr>
        <w:spacing w:after="0" w:line="240" w:lineRule="auto"/>
      </w:pPr>
      <w:r>
        <w:separator/>
      </w:r>
    </w:p>
  </w:endnote>
  <w:endnote w:type="continuationSeparator" w:id="0">
    <w:p w14:paraId="000B153E" w14:textId="77777777" w:rsidR="004E469D" w:rsidRPr="00B42979" w:rsidRDefault="004E469D" w:rsidP="00B429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notTrueType/>
    <w:pitch w:val="variable"/>
    <w:sig w:usb0="00000003" w:usb1="00000000" w:usb2="00000000" w:usb3="00000000" w:csb0="00000001" w:csb1="00000000"/>
  </w:font>
  <w:font w:name="Lucida Grande">
    <w:panose1 w:val="00000000000000000000"/>
    <w:charset w:val="00"/>
    <w:family w:val="auto"/>
    <w:notTrueType/>
    <w:pitch w:val="variable"/>
    <w:sig w:usb0="00000003" w:usb1="00000000" w:usb2="00000000" w:usb3="00000000" w:csb0="00000001" w:csb1="00000000"/>
  </w:font>
  <w:font w:name="Consolas">
    <w:panose1 w:val="020B0609020204030204"/>
    <w:charset w:val="00"/>
    <w:family w:val="roman"/>
    <w:notTrueType/>
    <w:pitch w:val="default"/>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4E6C5E" w14:textId="77777777" w:rsidR="004E469D" w:rsidRDefault="004E469D" w:rsidP="002634E1">
    <w:pPr>
      <w:pStyle w:val="FooterTextEven"/>
    </w:pPr>
    <w:r>
      <w:fldChar w:fldCharType="begin"/>
    </w:r>
    <w:r>
      <w:instrText xml:space="preserve"> PAGE   \* MERGEFORMAT </w:instrText>
    </w:r>
    <w:r>
      <w:fldChar w:fldCharType="separate"/>
    </w:r>
    <w:r>
      <w:rPr>
        <w:noProof/>
      </w:rPr>
      <w:t>83</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A20E78" w14:textId="77777777" w:rsidR="00EB002B" w:rsidRDefault="00EB002B">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71180D" w14:textId="77777777" w:rsidR="00EB002B" w:rsidRDefault="00EB002B">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32FB0B" w14:textId="77777777" w:rsidR="004E469D" w:rsidRDefault="004E469D" w:rsidP="002634E1">
    <w:pPr>
      <w:pStyle w:val="FooterTextEven"/>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24A1B7" w14:textId="2751891A" w:rsidR="004E469D" w:rsidRPr="00D05290" w:rsidRDefault="004E469D" w:rsidP="00140112">
    <w:pPr>
      <w:pStyle w:val="FooterTextOdd"/>
    </w:pPr>
    <w:r>
      <w:t>Environmental field survey of Commonwealth land at Badgerys Creek   |</w:t>
    </w:r>
    <w:proofErr w:type="gramStart"/>
    <w:r>
      <w:t>  </w:t>
    </w:r>
    <w:r w:rsidRPr="00B772A6">
      <w:rPr>
        <w:i/>
        <w:iCs/>
      </w:rPr>
      <w:t>The</w:t>
    </w:r>
    <w:proofErr w:type="gramEnd"/>
    <w:r w:rsidRPr="00B772A6">
      <w:rPr>
        <w:i/>
        <w:iCs/>
      </w:rPr>
      <w:t> SMEC Group</w:t>
    </w:r>
    <w:r>
      <w:t>  |  </w:t>
    </w:r>
    <w:r>
      <w:fldChar w:fldCharType="begin"/>
    </w:r>
    <w:r>
      <w:instrText xml:space="preserve"> PAGE   \* MERGEFORMAT </w:instrText>
    </w:r>
    <w:r>
      <w:fldChar w:fldCharType="separate"/>
    </w:r>
    <w:r w:rsidR="008A7C19">
      <w:rPr>
        <w:noProof/>
      </w:rPr>
      <w:t>i</w:t>
    </w:r>
    <w:r>
      <w:rPr>
        <w:noProof/>
      </w:rPr>
      <w:fldChar w:fldCharType="end"/>
    </w:r>
    <w:r>
      <w:rPr>
        <w:noProof/>
      </w:rPr>
      <w:t>i</w:t>
    </w:r>
  </w:p>
  <w:p w14:paraId="5A5CB3E2" w14:textId="77777777" w:rsidR="004E469D" w:rsidRPr="00D05290" w:rsidRDefault="004E469D" w:rsidP="00D05290">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8B74F8" w14:textId="77777777" w:rsidR="004E469D" w:rsidRPr="00D05290" w:rsidRDefault="004E469D" w:rsidP="00140112">
    <w:pPr>
      <w:pStyle w:val="FooterTextOdd"/>
    </w:pPr>
    <w:r>
      <w:t>Environmental field survey of Commonwealth land at Badgerys Creek   |</w:t>
    </w:r>
    <w:proofErr w:type="gramStart"/>
    <w:r>
      <w:t>  </w:t>
    </w:r>
    <w:r w:rsidRPr="00B772A6">
      <w:rPr>
        <w:i/>
        <w:iCs/>
      </w:rPr>
      <w:t>The</w:t>
    </w:r>
    <w:proofErr w:type="gramEnd"/>
    <w:r w:rsidRPr="00B772A6">
      <w:rPr>
        <w:i/>
        <w:iCs/>
      </w:rPr>
      <w:t> SMEC Group</w:t>
    </w:r>
    <w:r>
      <w:t>  |  </w:t>
    </w:r>
    <w:r>
      <w:fldChar w:fldCharType="begin"/>
    </w:r>
    <w:r>
      <w:instrText xml:space="preserve"> PAGE   \* MERGEFORMAT </w:instrText>
    </w:r>
    <w:r>
      <w:fldChar w:fldCharType="separate"/>
    </w:r>
    <w:r w:rsidR="008A7C19">
      <w:rPr>
        <w:noProof/>
      </w:rPr>
      <w:t>vi</w:t>
    </w:r>
    <w:r>
      <w:rPr>
        <w:noProof/>
      </w:rPr>
      <w:fldChar w:fldCharType="end"/>
    </w:r>
  </w:p>
  <w:p w14:paraId="11132A7C" w14:textId="77777777" w:rsidR="004E469D" w:rsidRPr="00D05290" w:rsidRDefault="004E469D" w:rsidP="00D05290">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3603D9" w14:textId="77777777" w:rsidR="004E469D" w:rsidRPr="0010414E" w:rsidRDefault="004E469D" w:rsidP="0010414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6F5368B" w14:textId="77777777" w:rsidR="004E469D" w:rsidRPr="00B42979" w:rsidRDefault="004E469D" w:rsidP="00B42979">
      <w:pPr>
        <w:spacing w:after="0" w:line="240" w:lineRule="auto"/>
      </w:pPr>
      <w:r>
        <w:separator/>
      </w:r>
    </w:p>
  </w:footnote>
  <w:footnote w:type="continuationSeparator" w:id="0">
    <w:p w14:paraId="5B67C0C3" w14:textId="77777777" w:rsidR="004E469D" w:rsidRPr="00B42979" w:rsidRDefault="004E469D" w:rsidP="00B42979">
      <w:pPr>
        <w:spacing w:after="0" w:line="240" w:lineRule="auto"/>
      </w:pPr>
      <w:r>
        <w:continuationSeparator/>
      </w:r>
    </w:p>
  </w:footnote>
  <w:footnote w:id="1">
    <w:p w14:paraId="38F4B3C6" w14:textId="1B041C43" w:rsidR="004E469D" w:rsidRDefault="004E469D">
      <w:pPr>
        <w:pStyle w:val="FootnoteText"/>
      </w:pPr>
      <w:r>
        <w:rPr>
          <w:rStyle w:val="FootnoteReference"/>
        </w:rPr>
        <w:footnoteRef/>
      </w:r>
      <w:r>
        <w:t xml:space="preserve"> </w:t>
      </w:r>
      <w:r w:rsidRPr="004E6F0D">
        <w:t>Th</w:t>
      </w:r>
      <w:r>
        <w:t xml:space="preserve">e current (2014) </w:t>
      </w:r>
      <w:r w:rsidRPr="004E6F0D">
        <w:t xml:space="preserve">investigation has given limited consideration to the information provided in the 1985 EIS on the presumption that all relevant details would have been considered in the subsequent </w:t>
      </w:r>
      <w:r>
        <w:t xml:space="preserve">Draft </w:t>
      </w:r>
      <w:r w:rsidRPr="004E6F0D">
        <w:t xml:space="preserve">EIS </w:t>
      </w:r>
      <w:r>
        <w:t>prepared</w:t>
      </w:r>
      <w:r w:rsidRPr="004E6F0D">
        <w:t xml:space="preserve"> in 199</w:t>
      </w:r>
      <w:r>
        <w:t>7 and Supplement to the Draft EIS prepared in 1999.</w:t>
      </w:r>
    </w:p>
  </w:footnote>
  <w:footnote w:id="2">
    <w:p w14:paraId="2340C127" w14:textId="61FB46BE" w:rsidR="004E469D" w:rsidRDefault="004E469D">
      <w:pPr>
        <w:pStyle w:val="FootnoteText"/>
      </w:pPr>
      <w:r>
        <w:rPr>
          <w:rStyle w:val="FootnoteReference"/>
        </w:rPr>
        <w:footnoteRef/>
      </w:r>
      <w:r>
        <w:t xml:space="preserve"> The Heritage Office is </w:t>
      </w:r>
      <w:r w:rsidRPr="002B68DC">
        <w:t>now the Heritage Division, Office of Environment and Heritage, Department of Premier and Cabinet</w:t>
      </w:r>
      <w:r>
        <w:t>.</w:t>
      </w:r>
    </w:p>
  </w:footnote>
  <w:footnote w:id="3">
    <w:p w14:paraId="3B0C94A8" w14:textId="733F7D31" w:rsidR="004E469D" w:rsidRDefault="004E469D">
      <w:pPr>
        <w:pStyle w:val="FootnoteText"/>
      </w:pPr>
      <w:r>
        <w:rPr>
          <w:rStyle w:val="FootnoteReference"/>
        </w:rPr>
        <w:footnoteRef/>
      </w:r>
      <w:r>
        <w:t xml:space="preserve"> No figure has been provided showing locations of recorded Aboriginal heritage sites due to the cultural sensitivity of the information.</w:t>
      </w:r>
    </w:p>
  </w:footnote>
  <w:footnote w:id="4">
    <w:p w14:paraId="3B6D0909" w14:textId="4A914848" w:rsidR="004E469D" w:rsidRDefault="004E469D">
      <w:pPr>
        <w:pStyle w:val="FootnoteText"/>
      </w:pPr>
      <w:r>
        <w:rPr>
          <w:rStyle w:val="FootnoteReference"/>
        </w:rPr>
        <w:footnoteRef/>
      </w:r>
      <w:r>
        <w:t xml:space="preserve"> Source: </w:t>
      </w:r>
      <w:r w:rsidRPr="00303F6E">
        <w:t>http://www.environment.gov.au/water/publications/quality/australian-and-new-zealand-guidelines-fresh-marine-water-quality-volume-1</w:t>
      </w:r>
    </w:p>
  </w:footnote>
  <w:footnote w:id="5">
    <w:p w14:paraId="5D575A56" w14:textId="6ECF823D" w:rsidR="004E469D" w:rsidRDefault="004E469D">
      <w:pPr>
        <w:pStyle w:val="FootnoteText"/>
      </w:pPr>
      <w:r>
        <w:rPr>
          <w:rStyle w:val="FootnoteReference"/>
        </w:rPr>
        <w:footnoteRef/>
      </w:r>
      <w:r>
        <w:t xml:space="preserve"> Source: </w:t>
      </w:r>
      <w:r w:rsidRPr="004C53E8">
        <w:t>https://www.nhmrc.gov.au/guidelines/publications/eh52</w:t>
      </w:r>
    </w:p>
  </w:footnote>
  <w:footnote w:id="6">
    <w:p w14:paraId="690A8F8F" w14:textId="5C05C2FD" w:rsidR="004E469D" w:rsidRDefault="004E469D">
      <w:pPr>
        <w:pStyle w:val="FootnoteText"/>
      </w:pPr>
      <w:r>
        <w:rPr>
          <w:rStyle w:val="FootnoteReference"/>
        </w:rPr>
        <w:footnoteRef/>
      </w:r>
      <w:r>
        <w:t xml:space="preserve"> Source: Bureau of Meteorology online daily weather observations for September 2014 for Badgerys Creek </w:t>
      </w:r>
      <w:r w:rsidRPr="00CE14D5">
        <w:t>(Station ID 067108)</w:t>
      </w:r>
    </w:p>
  </w:footnote>
  <w:footnote w:id="7">
    <w:p w14:paraId="2745A126" w14:textId="602231AD" w:rsidR="004E469D" w:rsidRDefault="004E469D">
      <w:pPr>
        <w:pStyle w:val="FootnoteText"/>
      </w:pPr>
      <w:r>
        <w:rPr>
          <w:rStyle w:val="FootnoteReference"/>
        </w:rPr>
        <w:footnoteRef/>
      </w:r>
      <w:r>
        <w:t xml:space="preserve"> The South Creek catchment is located within the Sydney Basin Central resource as established under the </w:t>
      </w:r>
      <w:r w:rsidRPr="00B91351">
        <w:rPr>
          <w:i/>
        </w:rPr>
        <w:t>Water Sharing Plan for the Greater Metropolitan Region Groundwater Sources 2011.</w:t>
      </w:r>
    </w:p>
  </w:footnote>
  <w:footnote w:id="8">
    <w:p w14:paraId="41EE2E49" w14:textId="25BFB23D" w:rsidR="004E469D" w:rsidRDefault="004E469D">
      <w:pPr>
        <w:pStyle w:val="FootnoteText"/>
      </w:pPr>
      <w:r>
        <w:rPr>
          <w:rStyle w:val="FootnoteReference"/>
        </w:rPr>
        <w:footnoteRef/>
      </w:r>
      <w:r>
        <w:t xml:space="preserve"> </w:t>
      </w:r>
      <w:r w:rsidRPr="00B91351">
        <w:t>http://www.water.nsw.gov.au/</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D17D08" w14:textId="6B9BAE9A" w:rsidR="004E469D" w:rsidRDefault="008A7C19" w:rsidP="00E66F2C">
    <w:pPr>
      <w:pStyle w:val="HeaderTextEven"/>
    </w:pPr>
    <w:r>
      <w:rPr>
        <w:noProof/>
      </w:rPr>
      <w:pict w14:anchorId="7EC3396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0" type="#_x0000_t136" style="position:absolute;margin-left:0;margin-top:0;width:399.35pt;height:239.6pt;rotation:315;z-index:-25165516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4E469D">
      <w:t>Test</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659088" w14:textId="7FE45013" w:rsidR="004E469D" w:rsidRDefault="008A7C19">
    <w:pPr>
      <w:pStyle w:val="Header"/>
    </w:pPr>
    <w:r>
      <w:rPr>
        <w:noProof/>
      </w:rPr>
      <w:pict w14:anchorId="0D5A9A5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62" type="#_x0000_t136" style="position:absolute;margin-left:0;margin-top:0;width:399.35pt;height:239.6pt;rotation:315;z-index:-25163059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2DFB07" w14:textId="74E0DF36" w:rsidR="004E469D" w:rsidRPr="006B4E4F" w:rsidRDefault="004E469D" w:rsidP="006B4E4F">
    <w:pPr>
      <w:pStyle w:val="HeaderText"/>
    </w:pPr>
    <w:r>
      <w:t>Document/Report Control Form</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1F5744" w14:textId="0D1F2BE9" w:rsidR="004E469D" w:rsidRDefault="008A7C19">
    <w:pPr>
      <w:pStyle w:val="Header"/>
    </w:pPr>
    <w:r>
      <w:rPr>
        <w:noProof/>
      </w:rPr>
      <w:pict w14:anchorId="4F079CB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61" type="#_x0000_t136" style="position:absolute;margin-left:0;margin-top:0;width:399.35pt;height:239.6pt;rotation:315;z-index:-25163264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6ADF1D" w14:textId="77777777" w:rsidR="00EB002B" w:rsidRDefault="00EB002B">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9674A0" w14:textId="77777777" w:rsidR="00EB002B" w:rsidRDefault="00EB002B">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2DC58D" w14:textId="3E23826A" w:rsidR="004E469D" w:rsidRDefault="008A7C19">
    <w:pPr>
      <w:pStyle w:val="Header"/>
    </w:pPr>
    <w:r>
      <w:rPr>
        <w:noProof/>
      </w:rPr>
      <w:pict w14:anchorId="51BA515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3" type="#_x0000_t136" style="position:absolute;margin-left:0;margin-top:0;width:399.35pt;height:239.6pt;rotation:315;z-index:-25164902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ABF8F5" w14:textId="734EF299" w:rsidR="004E469D" w:rsidRPr="00824612" w:rsidRDefault="004E469D" w:rsidP="00824612">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A7FBD2" w14:textId="1113C2C4" w:rsidR="004E469D" w:rsidRDefault="008A7C19">
    <w:pPr>
      <w:pStyle w:val="Header"/>
    </w:pPr>
    <w:r>
      <w:rPr>
        <w:noProof/>
      </w:rPr>
      <w:pict w14:anchorId="131DB79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2" type="#_x0000_t136" style="position:absolute;margin-left:0;margin-top:0;width:399.35pt;height:239.6pt;rotation:315;z-index:-25165107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90A3BD" w14:textId="2A59FF39" w:rsidR="004E469D" w:rsidRDefault="008A7C19">
    <w:pPr>
      <w:pStyle w:val="Header"/>
    </w:pPr>
    <w:r>
      <w:rPr>
        <w:noProof/>
      </w:rPr>
      <w:pict w14:anchorId="1B7345E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6" type="#_x0000_t136" style="position:absolute;margin-left:0;margin-top:0;width:399.35pt;height:239.6pt;rotation:315;z-index:-25164288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5930B3" w14:textId="59A0E933" w:rsidR="004E469D" w:rsidRDefault="004E469D">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EA22C7" w14:textId="36BDCC79" w:rsidR="004E469D" w:rsidRDefault="008A7C19">
    <w:pPr>
      <w:pStyle w:val="Header"/>
    </w:pPr>
    <w:r>
      <w:rPr>
        <w:noProof/>
      </w:rPr>
      <w:pict w14:anchorId="791B321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5" type="#_x0000_t136" style="position:absolute;margin-left:0;margin-top:0;width:399.35pt;height:239.6pt;rotation:315;z-index:-2516449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2453C0"/>
    <w:multiLevelType w:val="multilevel"/>
    <w:tmpl w:val="4C167946"/>
    <w:styleLink w:val="TechSpecsList"/>
    <w:lvl w:ilvl="0">
      <w:start w:val="1"/>
      <w:numFmt w:val="decimal"/>
      <w:pStyle w:val="Heading1-TechSpecs"/>
      <w:suff w:val="nothing"/>
      <w:lvlText w:val="SECTION %1 – "/>
      <w:lvlJc w:val="left"/>
      <w:pPr>
        <w:ind w:left="0" w:firstLine="0"/>
      </w:pPr>
      <w:rPr>
        <w:rFonts w:hint="default"/>
      </w:rPr>
    </w:lvl>
    <w:lvl w:ilvl="1">
      <w:start w:val="1"/>
      <w:numFmt w:val="decimal"/>
      <w:lvlText w:val="%1.%2"/>
      <w:lvlJc w:val="left"/>
      <w:pPr>
        <w:ind w:left="1134" w:hanging="1134"/>
      </w:pPr>
      <w:rPr>
        <w:rFonts w:hint="default"/>
      </w:rPr>
    </w:lvl>
    <w:lvl w:ilvl="2">
      <w:start w:val="1"/>
      <w:numFmt w:val="decimal"/>
      <w:pStyle w:val="Heading3-TechSpecs"/>
      <w:lvlText w:val="%1.%2.%3"/>
      <w:lvlJc w:val="left"/>
      <w:pPr>
        <w:tabs>
          <w:tab w:val="num" w:pos="1701"/>
        </w:tabs>
        <w:ind w:left="1134" w:hanging="1134"/>
      </w:pPr>
      <w:rPr>
        <w:rFonts w:hint="default"/>
      </w:rPr>
    </w:lvl>
    <w:lvl w:ilvl="3">
      <w:start w:val="1"/>
      <w:numFmt w:val="lowerLetter"/>
      <w:lvlText w:val="(%4)"/>
      <w:lvlJc w:val="left"/>
      <w:pPr>
        <w:ind w:left="1134" w:hanging="1134"/>
      </w:pPr>
      <w:rPr>
        <w:rFonts w:hint="default"/>
      </w:rPr>
    </w:lvl>
    <w:lvl w:ilvl="4">
      <w:start w:val="1"/>
      <w:numFmt w:val="bullet"/>
      <w:lvlText w:val=""/>
      <w:lvlJc w:val="left"/>
      <w:pPr>
        <w:ind w:left="1701" w:hanging="567"/>
      </w:pPr>
      <w:rPr>
        <w:rFonts w:ascii="Wingdings" w:hAnsi="Wingding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
    <w:nsid w:val="04D04B5A"/>
    <w:multiLevelType w:val="hybridMultilevel"/>
    <w:tmpl w:val="EF6809B4"/>
    <w:lvl w:ilvl="0" w:tplc="38D4AAB8">
      <w:numFmt w:val="bullet"/>
      <w:lvlText w:val="•"/>
      <w:lvlJc w:val="left"/>
      <w:pPr>
        <w:ind w:left="720" w:hanging="360"/>
      </w:pPr>
      <w:rPr>
        <w:rFonts w:ascii="Calibri" w:eastAsia="Cambria"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0C4C67F3"/>
    <w:multiLevelType w:val="multilevel"/>
    <w:tmpl w:val="AD840D12"/>
    <w:lvl w:ilvl="0">
      <w:start w:val="1"/>
      <w:numFmt w:val="bullet"/>
      <w:lvlText w:val=""/>
      <w:lvlJc w:val="left"/>
      <w:pPr>
        <w:ind w:left="717" w:hanging="360"/>
      </w:pPr>
      <w:rPr>
        <w:rFonts w:ascii="Symbol" w:hAnsi="Symbol" w:cs="Wingdings" w:hint="default"/>
        <w:b w:val="0"/>
        <w:i w:val="0"/>
      </w:rPr>
    </w:lvl>
    <w:lvl w:ilvl="1">
      <w:start w:val="1"/>
      <w:numFmt w:val="bullet"/>
      <w:pStyle w:val="ListBullet2"/>
      <w:lvlText w:val="-"/>
      <w:lvlJc w:val="left"/>
      <w:pPr>
        <w:ind w:left="1452" w:hanging="369"/>
      </w:pPr>
      <w:rPr>
        <w:rFonts w:ascii="Courier New" w:hAnsi="Courier New" w:hint="default"/>
      </w:rPr>
    </w:lvl>
    <w:lvl w:ilvl="2">
      <w:start w:val="1"/>
      <w:numFmt w:val="bullet"/>
      <w:lvlText w:val=""/>
      <w:lvlJc w:val="left"/>
      <w:pPr>
        <w:ind w:left="2178" w:hanging="369"/>
      </w:pPr>
      <w:rPr>
        <w:rFonts w:ascii="Wingdings" w:hAnsi="Wingdings" w:hint="default"/>
      </w:rPr>
    </w:lvl>
    <w:lvl w:ilvl="3">
      <w:start w:val="1"/>
      <w:numFmt w:val="bullet"/>
      <w:lvlText w:val=""/>
      <w:lvlJc w:val="left"/>
      <w:pPr>
        <w:ind w:left="2904" w:hanging="369"/>
      </w:pPr>
      <w:rPr>
        <w:rFonts w:ascii="Symbol" w:hAnsi="Symbol" w:hint="default"/>
      </w:rPr>
    </w:lvl>
    <w:lvl w:ilvl="4">
      <w:start w:val="1"/>
      <w:numFmt w:val="bullet"/>
      <w:lvlText w:val="o"/>
      <w:lvlJc w:val="left"/>
      <w:pPr>
        <w:ind w:left="3630" w:hanging="369"/>
      </w:pPr>
      <w:rPr>
        <w:rFonts w:ascii="Courier New" w:hAnsi="Courier New" w:hint="default"/>
      </w:rPr>
    </w:lvl>
    <w:lvl w:ilvl="5">
      <w:start w:val="1"/>
      <w:numFmt w:val="none"/>
      <w:lvlText w:val=""/>
      <w:lvlJc w:val="left"/>
      <w:pPr>
        <w:ind w:left="4356" w:hanging="369"/>
      </w:pPr>
      <w:rPr>
        <w:rFonts w:hint="default"/>
      </w:rPr>
    </w:lvl>
    <w:lvl w:ilvl="6">
      <w:start w:val="1"/>
      <w:numFmt w:val="none"/>
      <w:lvlText w:val=""/>
      <w:lvlJc w:val="left"/>
      <w:pPr>
        <w:ind w:left="5082" w:hanging="369"/>
      </w:pPr>
      <w:rPr>
        <w:rFonts w:hint="default"/>
      </w:rPr>
    </w:lvl>
    <w:lvl w:ilvl="7">
      <w:start w:val="1"/>
      <w:numFmt w:val="none"/>
      <w:lvlText w:val=""/>
      <w:lvlJc w:val="left"/>
      <w:pPr>
        <w:ind w:left="5808" w:hanging="369"/>
      </w:pPr>
      <w:rPr>
        <w:rFonts w:hint="default"/>
      </w:rPr>
    </w:lvl>
    <w:lvl w:ilvl="8">
      <w:start w:val="1"/>
      <w:numFmt w:val="none"/>
      <w:lvlText w:val=""/>
      <w:lvlJc w:val="left"/>
      <w:pPr>
        <w:ind w:left="6534" w:hanging="369"/>
      </w:pPr>
      <w:rPr>
        <w:rFonts w:hint="default"/>
      </w:rPr>
    </w:lvl>
  </w:abstractNum>
  <w:abstractNum w:abstractNumId="3">
    <w:nsid w:val="1CB344D7"/>
    <w:multiLevelType w:val="multilevel"/>
    <w:tmpl w:val="EDAC9638"/>
    <w:lvl w:ilvl="0">
      <w:start w:val="1"/>
      <w:numFmt w:val="decimal"/>
      <w:lvlText w:val="%1."/>
      <w:lvlJc w:val="left"/>
      <w:pPr>
        <w:ind w:left="360" w:hanging="360"/>
      </w:pPr>
    </w:lvl>
    <w:lvl w:ilvl="1">
      <w:start w:val="1"/>
      <w:numFmt w:val="decimal"/>
      <w:pStyle w:val="Heading2-TechSpecs"/>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nsid w:val="25BB2B24"/>
    <w:multiLevelType w:val="hybridMultilevel"/>
    <w:tmpl w:val="24F2DF74"/>
    <w:lvl w:ilvl="0" w:tplc="06985FDE">
      <w:start w:val="1"/>
      <w:numFmt w:val="lowerLetter"/>
      <w:lvlText w:val="%1)"/>
      <w:lvlJc w:val="left"/>
      <w:pPr>
        <w:ind w:left="786" w:hanging="360"/>
      </w:pPr>
      <w:rPr>
        <w:rFonts w:hint="default"/>
      </w:rPr>
    </w:lvl>
    <w:lvl w:ilvl="1" w:tplc="0C090019" w:tentative="1">
      <w:start w:val="1"/>
      <w:numFmt w:val="lowerLetter"/>
      <w:lvlText w:val="%2."/>
      <w:lvlJc w:val="left"/>
      <w:pPr>
        <w:ind w:left="1506" w:hanging="360"/>
      </w:pPr>
    </w:lvl>
    <w:lvl w:ilvl="2" w:tplc="0C09001B" w:tentative="1">
      <w:start w:val="1"/>
      <w:numFmt w:val="lowerRoman"/>
      <w:lvlText w:val="%3."/>
      <w:lvlJc w:val="right"/>
      <w:pPr>
        <w:ind w:left="2226" w:hanging="180"/>
      </w:pPr>
    </w:lvl>
    <w:lvl w:ilvl="3" w:tplc="0C09000F" w:tentative="1">
      <w:start w:val="1"/>
      <w:numFmt w:val="decimal"/>
      <w:lvlText w:val="%4."/>
      <w:lvlJc w:val="left"/>
      <w:pPr>
        <w:ind w:left="2946" w:hanging="360"/>
      </w:pPr>
    </w:lvl>
    <w:lvl w:ilvl="4" w:tplc="0C090019" w:tentative="1">
      <w:start w:val="1"/>
      <w:numFmt w:val="lowerLetter"/>
      <w:lvlText w:val="%5."/>
      <w:lvlJc w:val="left"/>
      <w:pPr>
        <w:ind w:left="3666" w:hanging="360"/>
      </w:pPr>
    </w:lvl>
    <w:lvl w:ilvl="5" w:tplc="0C09001B" w:tentative="1">
      <w:start w:val="1"/>
      <w:numFmt w:val="lowerRoman"/>
      <w:lvlText w:val="%6."/>
      <w:lvlJc w:val="right"/>
      <w:pPr>
        <w:ind w:left="4386" w:hanging="180"/>
      </w:pPr>
    </w:lvl>
    <w:lvl w:ilvl="6" w:tplc="0C09000F" w:tentative="1">
      <w:start w:val="1"/>
      <w:numFmt w:val="decimal"/>
      <w:lvlText w:val="%7."/>
      <w:lvlJc w:val="left"/>
      <w:pPr>
        <w:ind w:left="5106" w:hanging="360"/>
      </w:pPr>
    </w:lvl>
    <w:lvl w:ilvl="7" w:tplc="0C090019" w:tentative="1">
      <w:start w:val="1"/>
      <w:numFmt w:val="lowerLetter"/>
      <w:lvlText w:val="%8."/>
      <w:lvlJc w:val="left"/>
      <w:pPr>
        <w:ind w:left="5826" w:hanging="360"/>
      </w:pPr>
    </w:lvl>
    <w:lvl w:ilvl="8" w:tplc="0C09001B" w:tentative="1">
      <w:start w:val="1"/>
      <w:numFmt w:val="lowerRoman"/>
      <w:lvlText w:val="%9."/>
      <w:lvlJc w:val="right"/>
      <w:pPr>
        <w:ind w:left="6546" w:hanging="180"/>
      </w:pPr>
    </w:lvl>
  </w:abstractNum>
  <w:abstractNum w:abstractNumId="5">
    <w:nsid w:val="2B0460EF"/>
    <w:multiLevelType w:val="hybridMultilevel"/>
    <w:tmpl w:val="CD8E4848"/>
    <w:lvl w:ilvl="0" w:tplc="6484A574">
      <w:start w:val="1"/>
      <w:numFmt w:val="bullet"/>
      <w:pStyle w:val="Bullets-TechSpecs"/>
      <w:lvlText w:val=""/>
      <w:lvlJc w:val="left"/>
      <w:pPr>
        <w:ind w:left="1854" w:hanging="360"/>
      </w:pPr>
      <w:rPr>
        <w:rFonts w:ascii="Symbol" w:hAnsi="Symbol" w:hint="default"/>
      </w:rPr>
    </w:lvl>
    <w:lvl w:ilvl="1" w:tplc="0C090003" w:tentative="1">
      <w:start w:val="1"/>
      <w:numFmt w:val="bullet"/>
      <w:lvlText w:val="o"/>
      <w:lvlJc w:val="left"/>
      <w:pPr>
        <w:ind w:left="2574" w:hanging="360"/>
      </w:pPr>
      <w:rPr>
        <w:rFonts w:ascii="Courier New" w:hAnsi="Courier New" w:cs="Arial"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Arial"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Arial" w:hint="default"/>
      </w:rPr>
    </w:lvl>
    <w:lvl w:ilvl="8" w:tplc="0C090005" w:tentative="1">
      <w:start w:val="1"/>
      <w:numFmt w:val="bullet"/>
      <w:lvlText w:val=""/>
      <w:lvlJc w:val="left"/>
      <w:pPr>
        <w:ind w:left="7614" w:hanging="360"/>
      </w:pPr>
      <w:rPr>
        <w:rFonts w:ascii="Wingdings" w:hAnsi="Wingdings" w:hint="default"/>
      </w:rPr>
    </w:lvl>
  </w:abstractNum>
  <w:abstractNum w:abstractNumId="6">
    <w:nsid w:val="2BB56B46"/>
    <w:multiLevelType w:val="hybridMultilevel"/>
    <w:tmpl w:val="4C828F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nsid w:val="3B39422C"/>
    <w:multiLevelType w:val="multilevel"/>
    <w:tmpl w:val="CADC0EEA"/>
    <w:lvl w:ilvl="0">
      <w:start w:val="1"/>
      <w:numFmt w:val="bullet"/>
      <w:lvlText w:val="-"/>
      <w:lvlJc w:val="left"/>
      <w:pPr>
        <w:ind w:left="717" w:hanging="360"/>
      </w:pPr>
      <w:rPr>
        <w:rFonts w:ascii="Courier New" w:hAnsi="Courier New" w:hint="default"/>
        <w:b w:val="0"/>
        <w:i w:val="0"/>
      </w:rPr>
    </w:lvl>
    <w:lvl w:ilvl="1">
      <w:start w:val="1"/>
      <w:numFmt w:val="bullet"/>
      <w:lvlText w:val="o"/>
      <w:lvlJc w:val="left"/>
      <w:pPr>
        <w:ind w:left="1452" w:hanging="369"/>
      </w:pPr>
      <w:rPr>
        <w:rFonts w:ascii="Courier New" w:hAnsi="Courier New" w:hint="default"/>
      </w:rPr>
    </w:lvl>
    <w:lvl w:ilvl="2">
      <w:start w:val="1"/>
      <w:numFmt w:val="bullet"/>
      <w:lvlText w:val=""/>
      <w:lvlJc w:val="left"/>
      <w:pPr>
        <w:ind w:left="2178" w:hanging="369"/>
      </w:pPr>
      <w:rPr>
        <w:rFonts w:ascii="Wingdings" w:hAnsi="Wingdings" w:hint="default"/>
      </w:rPr>
    </w:lvl>
    <w:lvl w:ilvl="3">
      <w:start w:val="1"/>
      <w:numFmt w:val="bullet"/>
      <w:lvlText w:val=""/>
      <w:lvlJc w:val="left"/>
      <w:pPr>
        <w:ind w:left="2904" w:hanging="369"/>
      </w:pPr>
      <w:rPr>
        <w:rFonts w:ascii="Symbol" w:hAnsi="Symbol" w:hint="default"/>
      </w:rPr>
    </w:lvl>
    <w:lvl w:ilvl="4">
      <w:start w:val="1"/>
      <w:numFmt w:val="bullet"/>
      <w:lvlText w:val="o"/>
      <w:lvlJc w:val="left"/>
      <w:pPr>
        <w:ind w:left="3630" w:hanging="369"/>
      </w:pPr>
      <w:rPr>
        <w:rFonts w:ascii="Courier New" w:hAnsi="Courier New" w:hint="default"/>
      </w:rPr>
    </w:lvl>
    <w:lvl w:ilvl="5">
      <w:start w:val="1"/>
      <w:numFmt w:val="none"/>
      <w:lvlText w:val=""/>
      <w:lvlJc w:val="left"/>
      <w:pPr>
        <w:ind w:left="4356" w:hanging="369"/>
      </w:pPr>
      <w:rPr>
        <w:rFonts w:hint="default"/>
      </w:rPr>
    </w:lvl>
    <w:lvl w:ilvl="6">
      <w:start w:val="1"/>
      <w:numFmt w:val="none"/>
      <w:lvlText w:val=""/>
      <w:lvlJc w:val="left"/>
      <w:pPr>
        <w:ind w:left="5082" w:hanging="369"/>
      </w:pPr>
      <w:rPr>
        <w:rFonts w:hint="default"/>
      </w:rPr>
    </w:lvl>
    <w:lvl w:ilvl="7">
      <w:start w:val="1"/>
      <w:numFmt w:val="none"/>
      <w:lvlText w:val=""/>
      <w:lvlJc w:val="left"/>
      <w:pPr>
        <w:ind w:left="5808" w:hanging="369"/>
      </w:pPr>
      <w:rPr>
        <w:rFonts w:hint="default"/>
      </w:rPr>
    </w:lvl>
    <w:lvl w:ilvl="8">
      <w:start w:val="1"/>
      <w:numFmt w:val="none"/>
      <w:lvlText w:val=""/>
      <w:lvlJc w:val="left"/>
      <w:pPr>
        <w:ind w:left="6534" w:hanging="369"/>
      </w:pPr>
      <w:rPr>
        <w:rFonts w:hint="default"/>
      </w:rPr>
    </w:lvl>
  </w:abstractNum>
  <w:abstractNum w:abstractNumId="8">
    <w:nsid w:val="43A0219A"/>
    <w:multiLevelType w:val="multilevel"/>
    <w:tmpl w:val="1ACED5E0"/>
    <w:styleLink w:val="Headings"/>
    <w:lvl w:ilvl="0">
      <w:start w:val="1"/>
      <w:numFmt w:val="decimal"/>
      <w:lvlText w:val="%1"/>
      <w:lvlJc w:val="left"/>
      <w:pPr>
        <w:ind w:left="567" w:hanging="567"/>
      </w:pPr>
      <w:rPr>
        <w:rFonts w:hint="default"/>
      </w:rPr>
    </w:lvl>
    <w:lvl w:ilvl="1">
      <w:start w:val="1"/>
      <w:numFmt w:val="decimal"/>
      <w:lvlText w:val="%1.%2"/>
      <w:lvlJc w:val="left"/>
      <w:pPr>
        <w:ind w:left="567" w:hanging="567"/>
      </w:pPr>
      <w:rPr>
        <w:rFonts w:hint="default"/>
      </w:rPr>
    </w:lvl>
    <w:lvl w:ilvl="2">
      <w:start w:val="1"/>
      <w:numFmt w:val="decimal"/>
      <w:lvlText w:val="%1.%2.%3"/>
      <w:lvlJc w:val="left"/>
      <w:pPr>
        <w:ind w:left="3262" w:hanging="851"/>
      </w:pPr>
      <w:rPr>
        <w:rFonts w:hint="default"/>
      </w:rPr>
    </w:lvl>
    <w:lvl w:ilvl="3">
      <w:start w:val="1"/>
      <w:numFmt w:val="decimal"/>
      <w:lvlText w:val="%1.%2.%3.%4"/>
      <w:lvlJc w:val="left"/>
      <w:pPr>
        <w:ind w:left="851" w:hanging="851"/>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nsid w:val="44733813"/>
    <w:multiLevelType w:val="hybridMultilevel"/>
    <w:tmpl w:val="ACBE6CF8"/>
    <w:lvl w:ilvl="0" w:tplc="5C2C928C">
      <w:numFmt w:val="bullet"/>
      <w:lvlText w:val="•"/>
      <w:lvlJc w:val="left"/>
      <w:pPr>
        <w:ind w:left="780" w:hanging="420"/>
      </w:pPr>
      <w:rPr>
        <w:rFonts w:ascii="Calibri" w:eastAsia="Cambria"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4ECF15DB"/>
    <w:multiLevelType w:val="hybridMultilevel"/>
    <w:tmpl w:val="61E4D7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nsid w:val="50D54817"/>
    <w:multiLevelType w:val="hybridMultilevel"/>
    <w:tmpl w:val="450A0F5E"/>
    <w:lvl w:ilvl="0" w:tplc="F512758A">
      <w:start w:val="1"/>
      <w:numFmt w:val="upperLetter"/>
      <w:pStyle w:val="Heading-Appendix"/>
      <w:lvlText w:val="Appendix %1"/>
      <w:lvlJc w:val="left"/>
      <w:pPr>
        <w:ind w:left="720" w:hanging="360"/>
      </w:pPr>
      <w:rPr>
        <w:rFonts w:hint="default"/>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nsid w:val="54C70D60"/>
    <w:multiLevelType w:val="multilevel"/>
    <w:tmpl w:val="DF1269EA"/>
    <w:lvl w:ilvl="0">
      <w:start w:val="1"/>
      <w:numFmt w:val="decimal"/>
      <w:pStyle w:val="Heading1"/>
      <w:lvlText w:val="%1."/>
      <w:lvlJc w:val="left"/>
      <w:pPr>
        <w:ind w:left="360" w:hanging="360"/>
      </w:pPr>
      <w:rPr>
        <w:rFonts w:hint="default"/>
      </w:rPr>
    </w:lvl>
    <w:lvl w:ilvl="1">
      <w:start w:val="1"/>
      <w:numFmt w:val="decimal"/>
      <w:pStyle w:val="Heading2"/>
      <w:lvlText w:val="%1.%2."/>
      <w:lvlJc w:val="left"/>
      <w:pPr>
        <w:ind w:left="1000" w:hanging="432"/>
      </w:pPr>
      <w:rPr>
        <w:rFonts w:hint="default"/>
      </w:rPr>
    </w:lvl>
    <w:lvl w:ilvl="2">
      <w:start w:val="1"/>
      <w:numFmt w:val="decimal"/>
      <w:pStyle w:val="Heading3"/>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nsid w:val="5F9118BD"/>
    <w:multiLevelType w:val="multilevel"/>
    <w:tmpl w:val="75907BF8"/>
    <w:styleLink w:val="ListNumbers"/>
    <w:lvl w:ilvl="0">
      <w:start w:val="1"/>
      <w:numFmt w:val="decimal"/>
      <w:pStyle w:val="ListNumber"/>
      <w:lvlText w:val="%1."/>
      <w:lvlJc w:val="left"/>
      <w:pPr>
        <w:ind w:left="720" w:hanging="360"/>
      </w:pPr>
      <w:rPr>
        <w:rFonts w:hint="default"/>
      </w:rPr>
    </w:lvl>
    <w:lvl w:ilvl="1">
      <w:start w:val="1"/>
      <w:numFmt w:val="lowerLetter"/>
      <w:pStyle w:val="ListNumber2"/>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pStyle w:val="ListNumber4"/>
      <w:lvlText w:val="%4."/>
      <w:lvlJc w:val="left"/>
      <w:pPr>
        <w:ind w:left="2880" w:hanging="360"/>
      </w:pPr>
      <w:rPr>
        <w:rFonts w:hint="default"/>
      </w:rPr>
    </w:lvl>
    <w:lvl w:ilvl="4">
      <w:start w:val="1"/>
      <w:numFmt w:val="lowerLetter"/>
      <w:pStyle w:val="ListNumber5"/>
      <w:lvlText w:val="%5."/>
      <w:lvlJc w:val="left"/>
      <w:pPr>
        <w:ind w:left="3600" w:hanging="360"/>
      </w:pPr>
      <w:rPr>
        <w:rFonts w:hint="default"/>
      </w:rPr>
    </w:lvl>
    <w:lvl w:ilvl="5">
      <w:start w:val="1"/>
      <w:numFmt w:val="none"/>
      <w:lvlText w:val="%6"/>
      <w:lvlJc w:val="right"/>
      <w:pPr>
        <w:ind w:left="4320" w:hanging="180"/>
      </w:pPr>
      <w:rPr>
        <w:rFonts w:hint="default"/>
      </w:rPr>
    </w:lvl>
    <w:lvl w:ilvl="6">
      <w:start w:val="1"/>
      <w:numFmt w:val="none"/>
      <w:lvlText w:val="%7"/>
      <w:lvlJc w:val="left"/>
      <w:pPr>
        <w:ind w:left="5040" w:hanging="360"/>
      </w:pPr>
      <w:rPr>
        <w:rFonts w:hint="default"/>
      </w:rPr>
    </w:lvl>
    <w:lvl w:ilvl="7">
      <w:start w:val="1"/>
      <w:numFmt w:val="none"/>
      <w:lvlText w:val="%8"/>
      <w:lvlJc w:val="left"/>
      <w:pPr>
        <w:ind w:left="5760" w:hanging="360"/>
      </w:pPr>
      <w:rPr>
        <w:rFonts w:hint="default"/>
      </w:rPr>
    </w:lvl>
    <w:lvl w:ilvl="8">
      <w:start w:val="1"/>
      <w:numFmt w:val="none"/>
      <w:lvlText w:val="%9"/>
      <w:lvlJc w:val="right"/>
      <w:pPr>
        <w:ind w:left="6480" w:hanging="180"/>
      </w:pPr>
      <w:rPr>
        <w:rFonts w:hint="default"/>
      </w:rPr>
    </w:lvl>
  </w:abstractNum>
  <w:abstractNum w:abstractNumId="14">
    <w:nsid w:val="6AAD3EF3"/>
    <w:multiLevelType w:val="multilevel"/>
    <w:tmpl w:val="30104F66"/>
    <w:styleLink w:val="ListBullets"/>
    <w:lvl w:ilvl="0">
      <w:start w:val="1"/>
      <w:numFmt w:val="bullet"/>
      <w:pStyle w:val="ListBullet"/>
      <w:lvlText w:val=""/>
      <w:lvlJc w:val="left"/>
      <w:pPr>
        <w:ind w:left="717" w:hanging="360"/>
      </w:pPr>
      <w:rPr>
        <w:rFonts w:ascii="Symbol" w:hAnsi="Symbol" w:cs="Wingdings" w:hint="default"/>
        <w:b w:val="0"/>
        <w:i w:val="0"/>
      </w:rPr>
    </w:lvl>
    <w:lvl w:ilvl="1">
      <w:start w:val="1"/>
      <w:numFmt w:val="bullet"/>
      <w:lvlText w:val="o"/>
      <w:lvlJc w:val="left"/>
      <w:pPr>
        <w:ind w:left="1452" w:hanging="369"/>
      </w:pPr>
      <w:rPr>
        <w:rFonts w:ascii="Courier New" w:hAnsi="Courier New" w:hint="default"/>
      </w:rPr>
    </w:lvl>
    <w:lvl w:ilvl="2">
      <w:start w:val="1"/>
      <w:numFmt w:val="bullet"/>
      <w:pStyle w:val="ListBullet3"/>
      <w:lvlText w:val=""/>
      <w:lvlJc w:val="left"/>
      <w:pPr>
        <w:ind w:left="2178" w:hanging="369"/>
      </w:pPr>
      <w:rPr>
        <w:rFonts w:ascii="Wingdings" w:hAnsi="Wingdings" w:hint="default"/>
      </w:rPr>
    </w:lvl>
    <w:lvl w:ilvl="3">
      <w:start w:val="1"/>
      <w:numFmt w:val="bullet"/>
      <w:pStyle w:val="ListBullet4"/>
      <w:lvlText w:val=""/>
      <w:lvlJc w:val="left"/>
      <w:pPr>
        <w:ind w:left="2904" w:hanging="369"/>
      </w:pPr>
      <w:rPr>
        <w:rFonts w:ascii="Symbol" w:hAnsi="Symbol" w:hint="default"/>
      </w:rPr>
    </w:lvl>
    <w:lvl w:ilvl="4">
      <w:start w:val="1"/>
      <w:numFmt w:val="bullet"/>
      <w:pStyle w:val="ListBullet5"/>
      <w:lvlText w:val="o"/>
      <w:lvlJc w:val="left"/>
      <w:pPr>
        <w:ind w:left="3630" w:hanging="369"/>
      </w:pPr>
      <w:rPr>
        <w:rFonts w:ascii="Courier New" w:hAnsi="Courier New" w:hint="default"/>
      </w:rPr>
    </w:lvl>
    <w:lvl w:ilvl="5">
      <w:start w:val="1"/>
      <w:numFmt w:val="none"/>
      <w:lvlText w:val=""/>
      <w:lvlJc w:val="left"/>
      <w:pPr>
        <w:ind w:left="4356" w:hanging="369"/>
      </w:pPr>
      <w:rPr>
        <w:rFonts w:hint="default"/>
      </w:rPr>
    </w:lvl>
    <w:lvl w:ilvl="6">
      <w:start w:val="1"/>
      <w:numFmt w:val="none"/>
      <w:lvlText w:val=""/>
      <w:lvlJc w:val="left"/>
      <w:pPr>
        <w:ind w:left="5082" w:hanging="369"/>
      </w:pPr>
      <w:rPr>
        <w:rFonts w:hint="default"/>
      </w:rPr>
    </w:lvl>
    <w:lvl w:ilvl="7">
      <w:start w:val="1"/>
      <w:numFmt w:val="none"/>
      <w:lvlText w:val=""/>
      <w:lvlJc w:val="left"/>
      <w:pPr>
        <w:ind w:left="5808" w:hanging="369"/>
      </w:pPr>
      <w:rPr>
        <w:rFonts w:hint="default"/>
      </w:rPr>
    </w:lvl>
    <w:lvl w:ilvl="8">
      <w:start w:val="1"/>
      <w:numFmt w:val="none"/>
      <w:lvlText w:val=""/>
      <w:lvlJc w:val="left"/>
      <w:pPr>
        <w:ind w:left="6534" w:hanging="369"/>
      </w:pPr>
      <w:rPr>
        <w:rFonts w:hint="default"/>
      </w:rPr>
    </w:lvl>
  </w:abstractNum>
  <w:abstractNum w:abstractNumId="15">
    <w:nsid w:val="7C6D25DF"/>
    <w:multiLevelType w:val="hybridMultilevel"/>
    <w:tmpl w:val="3AA2CA4A"/>
    <w:lvl w:ilvl="0" w:tplc="363C290A">
      <w:start w:val="1"/>
      <w:numFmt w:val="bullet"/>
      <w:pStyle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6">
    <w:nsid w:val="7F437D33"/>
    <w:multiLevelType w:val="multilevel"/>
    <w:tmpl w:val="4C167946"/>
    <w:numStyleLink w:val="TechSpecsList"/>
  </w:abstractNum>
  <w:num w:numId="1">
    <w:abstractNumId w:val="0"/>
  </w:num>
  <w:num w:numId="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5"/>
  </w:num>
  <w:num w:numId="4">
    <w:abstractNumId w:val="11"/>
  </w:num>
  <w:num w:numId="5">
    <w:abstractNumId w:val="3"/>
  </w:num>
  <w:num w:numId="6">
    <w:abstractNumId w:val="12"/>
  </w:num>
  <w:num w:numId="7">
    <w:abstractNumId w:val="8"/>
  </w:num>
  <w:num w:numId="8">
    <w:abstractNumId w:val="14"/>
  </w:num>
  <w:num w:numId="9">
    <w:abstractNumId w:val="13"/>
  </w:num>
  <w:num w:numId="10">
    <w:abstractNumId w:val="0"/>
  </w:num>
  <w:num w:numId="11">
    <w:abstractNumId w:val="16"/>
    <w:lvlOverride w:ilvl="0">
      <w:lvl w:ilvl="0">
        <w:start w:val="1"/>
        <w:numFmt w:val="decimal"/>
        <w:suff w:val="nothing"/>
        <w:lvlText w:val="SECTION %1 – "/>
        <w:lvlJc w:val="left"/>
        <w:pPr>
          <w:ind w:left="0" w:firstLine="0"/>
        </w:pPr>
        <w:rPr>
          <w:rFonts w:hint="default"/>
        </w:rPr>
      </w:lvl>
    </w:lvlOverride>
    <w:lvlOverride w:ilvl="1">
      <w:lvl w:ilvl="1">
        <w:numFmt w:val="decimal"/>
        <w:lvlText w:val=""/>
        <w:lvlJc w:val="left"/>
      </w:lvl>
    </w:lvlOverride>
    <w:lvlOverride w:ilvl="2">
      <w:lvl w:ilvl="2">
        <w:start w:val="1"/>
        <w:numFmt w:val="decimal"/>
        <w:lvlText w:val="%1.%2.%3"/>
        <w:lvlJc w:val="left"/>
        <w:pPr>
          <w:tabs>
            <w:tab w:val="num" w:pos="1701"/>
          </w:tabs>
          <w:ind w:left="1134" w:hanging="1134"/>
        </w:pPr>
        <w:rPr>
          <w:rFonts w:hint="default"/>
        </w:rPr>
      </w:lvl>
    </w:lvlOverride>
  </w:num>
  <w:num w:numId="12">
    <w:abstractNumId w:val="4"/>
  </w:num>
  <w:num w:numId="13">
    <w:abstractNumId w:val="6"/>
  </w:num>
  <w:num w:numId="14">
    <w:abstractNumId w:val="1"/>
  </w:num>
  <w:num w:numId="15">
    <w:abstractNumId w:val="10"/>
  </w:num>
  <w:num w:numId="16">
    <w:abstractNumId w:val="9"/>
  </w:num>
  <w:num w:numId="17">
    <w:abstractNumId w:val="2"/>
  </w:num>
  <w:num w:numId="18">
    <w:abstractNumId w:val="7"/>
  </w:num>
  <w:num w:numId="19">
    <w:abstractNumId w:val="15"/>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proofState w:spelling="clean" w:grammar="clean"/>
  <w:defaultTabStop w:val="720"/>
  <w:drawingGridHorizontalSpacing w:val="100"/>
  <w:displayHorizontalDrawingGridEvery w:val="2"/>
  <w:characterSpacingControl w:val="doNotCompress"/>
  <w:hdrShapeDefaults>
    <o:shapedefaults v:ext="edit" spidmax="2063">
      <o:colormru v:ext="edit" colors="#dd7433"/>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6044A"/>
    <w:rsid w:val="000105CA"/>
    <w:rsid w:val="0001214F"/>
    <w:rsid w:val="000205E9"/>
    <w:rsid w:val="000241E8"/>
    <w:rsid w:val="000243C4"/>
    <w:rsid w:val="00031B14"/>
    <w:rsid w:val="00033AC0"/>
    <w:rsid w:val="000343D4"/>
    <w:rsid w:val="000441B5"/>
    <w:rsid w:val="00047AB8"/>
    <w:rsid w:val="00051D7B"/>
    <w:rsid w:val="00053BCC"/>
    <w:rsid w:val="000614B4"/>
    <w:rsid w:val="00061A82"/>
    <w:rsid w:val="0006247B"/>
    <w:rsid w:val="00062728"/>
    <w:rsid w:val="00066AAF"/>
    <w:rsid w:val="00067118"/>
    <w:rsid w:val="00071D0C"/>
    <w:rsid w:val="00072E8E"/>
    <w:rsid w:val="00077952"/>
    <w:rsid w:val="000808E0"/>
    <w:rsid w:val="00080923"/>
    <w:rsid w:val="00080DE6"/>
    <w:rsid w:val="00080F2C"/>
    <w:rsid w:val="00083A65"/>
    <w:rsid w:val="00083C77"/>
    <w:rsid w:val="00092611"/>
    <w:rsid w:val="00094FA6"/>
    <w:rsid w:val="00096385"/>
    <w:rsid w:val="00096566"/>
    <w:rsid w:val="000A7081"/>
    <w:rsid w:val="000C04A2"/>
    <w:rsid w:val="000C2483"/>
    <w:rsid w:val="000C4E66"/>
    <w:rsid w:val="000C543E"/>
    <w:rsid w:val="000C6752"/>
    <w:rsid w:val="000C7F4F"/>
    <w:rsid w:val="000D0BEF"/>
    <w:rsid w:val="000D1120"/>
    <w:rsid w:val="000D2CC4"/>
    <w:rsid w:val="000D3F00"/>
    <w:rsid w:val="000E005A"/>
    <w:rsid w:val="000E03AB"/>
    <w:rsid w:val="000E18BF"/>
    <w:rsid w:val="000E22C8"/>
    <w:rsid w:val="000E29A9"/>
    <w:rsid w:val="000E5C03"/>
    <w:rsid w:val="000F3597"/>
    <w:rsid w:val="000F3679"/>
    <w:rsid w:val="000F5F45"/>
    <w:rsid w:val="0010414E"/>
    <w:rsid w:val="00105475"/>
    <w:rsid w:val="00106AED"/>
    <w:rsid w:val="00107CC6"/>
    <w:rsid w:val="00110799"/>
    <w:rsid w:val="0011611D"/>
    <w:rsid w:val="00117422"/>
    <w:rsid w:val="001242D7"/>
    <w:rsid w:val="00131BCD"/>
    <w:rsid w:val="00131CB6"/>
    <w:rsid w:val="0013384B"/>
    <w:rsid w:val="00136CE0"/>
    <w:rsid w:val="00136D5B"/>
    <w:rsid w:val="00140112"/>
    <w:rsid w:val="001416ED"/>
    <w:rsid w:val="00142C28"/>
    <w:rsid w:val="0014346F"/>
    <w:rsid w:val="00147144"/>
    <w:rsid w:val="00150F8F"/>
    <w:rsid w:val="00151EBE"/>
    <w:rsid w:val="00151F8F"/>
    <w:rsid w:val="00154C6A"/>
    <w:rsid w:val="00154FDF"/>
    <w:rsid w:val="00156493"/>
    <w:rsid w:val="00156FC2"/>
    <w:rsid w:val="001604BB"/>
    <w:rsid w:val="00163E8A"/>
    <w:rsid w:val="001664FC"/>
    <w:rsid w:val="00170B25"/>
    <w:rsid w:val="0017491D"/>
    <w:rsid w:val="00176A8A"/>
    <w:rsid w:val="00182143"/>
    <w:rsid w:val="00183087"/>
    <w:rsid w:val="001839F1"/>
    <w:rsid w:val="001847DF"/>
    <w:rsid w:val="0019406C"/>
    <w:rsid w:val="001974F2"/>
    <w:rsid w:val="001A03B0"/>
    <w:rsid w:val="001A10EF"/>
    <w:rsid w:val="001A1C1F"/>
    <w:rsid w:val="001A3268"/>
    <w:rsid w:val="001A3760"/>
    <w:rsid w:val="001B2994"/>
    <w:rsid w:val="001B43F2"/>
    <w:rsid w:val="001B4849"/>
    <w:rsid w:val="001B626E"/>
    <w:rsid w:val="001C107A"/>
    <w:rsid w:val="001C1140"/>
    <w:rsid w:val="001C178F"/>
    <w:rsid w:val="001C1A3D"/>
    <w:rsid w:val="001C1B2A"/>
    <w:rsid w:val="001C1E01"/>
    <w:rsid w:val="001C2B85"/>
    <w:rsid w:val="001C3221"/>
    <w:rsid w:val="001C32A2"/>
    <w:rsid w:val="001C336E"/>
    <w:rsid w:val="001C525C"/>
    <w:rsid w:val="001C7809"/>
    <w:rsid w:val="001D7695"/>
    <w:rsid w:val="001D796C"/>
    <w:rsid w:val="001E37E2"/>
    <w:rsid w:val="001E4D8F"/>
    <w:rsid w:val="001E55D6"/>
    <w:rsid w:val="001E7B03"/>
    <w:rsid w:val="001F4163"/>
    <w:rsid w:val="001F463B"/>
    <w:rsid w:val="001F5B1B"/>
    <w:rsid w:val="00203628"/>
    <w:rsid w:val="00203BBB"/>
    <w:rsid w:val="00210E22"/>
    <w:rsid w:val="00213ADA"/>
    <w:rsid w:val="00214F62"/>
    <w:rsid w:val="00217DE0"/>
    <w:rsid w:val="00221731"/>
    <w:rsid w:val="00221CA2"/>
    <w:rsid w:val="00222BA8"/>
    <w:rsid w:val="0022561B"/>
    <w:rsid w:val="00226912"/>
    <w:rsid w:val="00234BD9"/>
    <w:rsid w:val="002358DA"/>
    <w:rsid w:val="00245651"/>
    <w:rsid w:val="00245AD1"/>
    <w:rsid w:val="00245CCA"/>
    <w:rsid w:val="002538D2"/>
    <w:rsid w:val="00254799"/>
    <w:rsid w:val="002548A7"/>
    <w:rsid w:val="00257DB7"/>
    <w:rsid w:val="00257E8D"/>
    <w:rsid w:val="00261470"/>
    <w:rsid w:val="00261947"/>
    <w:rsid w:val="002634E1"/>
    <w:rsid w:val="002643B0"/>
    <w:rsid w:val="0027003A"/>
    <w:rsid w:val="00273A1B"/>
    <w:rsid w:val="00273E7D"/>
    <w:rsid w:val="00275D67"/>
    <w:rsid w:val="002806C7"/>
    <w:rsid w:val="00290F86"/>
    <w:rsid w:val="00292D70"/>
    <w:rsid w:val="002952CA"/>
    <w:rsid w:val="0029772E"/>
    <w:rsid w:val="002A0C32"/>
    <w:rsid w:val="002A372B"/>
    <w:rsid w:val="002A52EC"/>
    <w:rsid w:val="002A53E9"/>
    <w:rsid w:val="002B307C"/>
    <w:rsid w:val="002B4720"/>
    <w:rsid w:val="002B62DF"/>
    <w:rsid w:val="002B68DC"/>
    <w:rsid w:val="002C0342"/>
    <w:rsid w:val="002C1019"/>
    <w:rsid w:val="002C157F"/>
    <w:rsid w:val="002C7F8D"/>
    <w:rsid w:val="002D272D"/>
    <w:rsid w:val="002D318E"/>
    <w:rsid w:val="002D51B9"/>
    <w:rsid w:val="002D74E9"/>
    <w:rsid w:val="002D7568"/>
    <w:rsid w:val="002D7E43"/>
    <w:rsid w:val="002E025C"/>
    <w:rsid w:val="002F0501"/>
    <w:rsid w:val="002F0664"/>
    <w:rsid w:val="002F0794"/>
    <w:rsid w:val="002F0B69"/>
    <w:rsid w:val="002F17B1"/>
    <w:rsid w:val="002F1D03"/>
    <w:rsid w:val="002F2957"/>
    <w:rsid w:val="002F46C9"/>
    <w:rsid w:val="00302F14"/>
    <w:rsid w:val="00303F6E"/>
    <w:rsid w:val="00304693"/>
    <w:rsid w:val="00305EA9"/>
    <w:rsid w:val="0030676F"/>
    <w:rsid w:val="00307B32"/>
    <w:rsid w:val="0031061C"/>
    <w:rsid w:val="00316E01"/>
    <w:rsid w:val="00320D29"/>
    <w:rsid w:val="003247B6"/>
    <w:rsid w:val="003267BB"/>
    <w:rsid w:val="00327332"/>
    <w:rsid w:val="0033359E"/>
    <w:rsid w:val="00334444"/>
    <w:rsid w:val="00337E8F"/>
    <w:rsid w:val="003414E0"/>
    <w:rsid w:val="00342337"/>
    <w:rsid w:val="00344B33"/>
    <w:rsid w:val="00345832"/>
    <w:rsid w:val="003468E6"/>
    <w:rsid w:val="00350279"/>
    <w:rsid w:val="00350B55"/>
    <w:rsid w:val="00351996"/>
    <w:rsid w:val="00351B12"/>
    <w:rsid w:val="003530F0"/>
    <w:rsid w:val="00360503"/>
    <w:rsid w:val="003678A0"/>
    <w:rsid w:val="003731C9"/>
    <w:rsid w:val="00373591"/>
    <w:rsid w:val="00373D83"/>
    <w:rsid w:val="00375531"/>
    <w:rsid w:val="00382766"/>
    <w:rsid w:val="00386E6E"/>
    <w:rsid w:val="0038749E"/>
    <w:rsid w:val="003901FD"/>
    <w:rsid w:val="00391152"/>
    <w:rsid w:val="00393AC6"/>
    <w:rsid w:val="00396C2D"/>
    <w:rsid w:val="003A2F9B"/>
    <w:rsid w:val="003A57A1"/>
    <w:rsid w:val="003B00DE"/>
    <w:rsid w:val="003B020D"/>
    <w:rsid w:val="003B2F87"/>
    <w:rsid w:val="003B30DB"/>
    <w:rsid w:val="003B3976"/>
    <w:rsid w:val="003B4F1B"/>
    <w:rsid w:val="003B5EE3"/>
    <w:rsid w:val="003B6190"/>
    <w:rsid w:val="003B6A45"/>
    <w:rsid w:val="003C18CA"/>
    <w:rsid w:val="003C2797"/>
    <w:rsid w:val="003D10A5"/>
    <w:rsid w:val="003D120C"/>
    <w:rsid w:val="003D13F7"/>
    <w:rsid w:val="003D5C72"/>
    <w:rsid w:val="003E45A4"/>
    <w:rsid w:val="003E4F92"/>
    <w:rsid w:val="003E5D38"/>
    <w:rsid w:val="003E63F1"/>
    <w:rsid w:val="003F0EF2"/>
    <w:rsid w:val="003F0FA4"/>
    <w:rsid w:val="003F186D"/>
    <w:rsid w:val="003F2F7F"/>
    <w:rsid w:val="003F4061"/>
    <w:rsid w:val="003F420A"/>
    <w:rsid w:val="003F463C"/>
    <w:rsid w:val="003F5118"/>
    <w:rsid w:val="0040223F"/>
    <w:rsid w:val="00403740"/>
    <w:rsid w:val="004047FC"/>
    <w:rsid w:val="0040757A"/>
    <w:rsid w:val="004101A4"/>
    <w:rsid w:val="0041025C"/>
    <w:rsid w:val="00410B2D"/>
    <w:rsid w:val="00410FCA"/>
    <w:rsid w:val="00411B84"/>
    <w:rsid w:val="00416535"/>
    <w:rsid w:val="00416A58"/>
    <w:rsid w:val="0041722E"/>
    <w:rsid w:val="0041775F"/>
    <w:rsid w:val="0042326B"/>
    <w:rsid w:val="0042493E"/>
    <w:rsid w:val="0042505E"/>
    <w:rsid w:val="0043103B"/>
    <w:rsid w:val="004348B9"/>
    <w:rsid w:val="004354A6"/>
    <w:rsid w:val="00436EDE"/>
    <w:rsid w:val="00437B9B"/>
    <w:rsid w:val="0044257B"/>
    <w:rsid w:val="0044258C"/>
    <w:rsid w:val="0044667E"/>
    <w:rsid w:val="00450FEB"/>
    <w:rsid w:val="00452B54"/>
    <w:rsid w:val="00454358"/>
    <w:rsid w:val="00457DE1"/>
    <w:rsid w:val="004678AE"/>
    <w:rsid w:val="004710C6"/>
    <w:rsid w:val="00483004"/>
    <w:rsid w:val="00483C44"/>
    <w:rsid w:val="00485319"/>
    <w:rsid w:val="004919F6"/>
    <w:rsid w:val="00493E41"/>
    <w:rsid w:val="00496F32"/>
    <w:rsid w:val="004A07E5"/>
    <w:rsid w:val="004A1CF9"/>
    <w:rsid w:val="004A42B9"/>
    <w:rsid w:val="004A5F66"/>
    <w:rsid w:val="004A7018"/>
    <w:rsid w:val="004B3C20"/>
    <w:rsid w:val="004C0EBB"/>
    <w:rsid w:val="004C2CCB"/>
    <w:rsid w:val="004C35B1"/>
    <w:rsid w:val="004C3AA2"/>
    <w:rsid w:val="004C4398"/>
    <w:rsid w:val="004C43D6"/>
    <w:rsid w:val="004C53E8"/>
    <w:rsid w:val="004D299C"/>
    <w:rsid w:val="004D57CB"/>
    <w:rsid w:val="004E469D"/>
    <w:rsid w:val="004E481C"/>
    <w:rsid w:val="004E52AA"/>
    <w:rsid w:val="004E63A6"/>
    <w:rsid w:val="004E6F0D"/>
    <w:rsid w:val="004F1E44"/>
    <w:rsid w:val="004F2CA1"/>
    <w:rsid w:val="004F37A8"/>
    <w:rsid w:val="004F784E"/>
    <w:rsid w:val="004F79B1"/>
    <w:rsid w:val="00500013"/>
    <w:rsid w:val="00500FAE"/>
    <w:rsid w:val="00501185"/>
    <w:rsid w:val="005055E9"/>
    <w:rsid w:val="00506799"/>
    <w:rsid w:val="00510CF5"/>
    <w:rsid w:val="0052224D"/>
    <w:rsid w:val="005241F5"/>
    <w:rsid w:val="00527BC0"/>
    <w:rsid w:val="00531052"/>
    <w:rsid w:val="005329AC"/>
    <w:rsid w:val="00533EE7"/>
    <w:rsid w:val="005364AB"/>
    <w:rsid w:val="00537F5C"/>
    <w:rsid w:val="0054117B"/>
    <w:rsid w:val="005416D7"/>
    <w:rsid w:val="00541AAF"/>
    <w:rsid w:val="005430BD"/>
    <w:rsid w:val="005431E1"/>
    <w:rsid w:val="005443BF"/>
    <w:rsid w:val="005558A9"/>
    <w:rsid w:val="00556A02"/>
    <w:rsid w:val="005613AC"/>
    <w:rsid w:val="00564216"/>
    <w:rsid w:val="00564BB8"/>
    <w:rsid w:val="00570950"/>
    <w:rsid w:val="00571775"/>
    <w:rsid w:val="005720AC"/>
    <w:rsid w:val="00574770"/>
    <w:rsid w:val="005756B0"/>
    <w:rsid w:val="00580EB3"/>
    <w:rsid w:val="0058212E"/>
    <w:rsid w:val="00582554"/>
    <w:rsid w:val="00583474"/>
    <w:rsid w:val="00584CF6"/>
    <w:rsid w:val="00587EC9"/>
    <w:rsid w:val="00590939"/>
    <w:rsid w:val="00591923"/>
    <w:rsid w:val="00591E46"/>
    <w:rsid w:val="00592437"/>
    <w:rsid w:val="00592DB7"/>
    <w:rsid w:val="0059637A"/>
    <w:rsid w:val="005A0D4D"/>
    <w:rsid w:val="005A4030"/>
    <w:rsid w:val="005A5547"/>
    <w:rsid w:val="005A7572"/>
    <w:rsid w:val="005B052D"/>
    <w:rsid w:val="005B4B75"/>
    <w:rsid w:val="005B54F0"/>
    <w:rsid w:val="005C2840"/>
    <w:rsid w:val="005C6016"/>
    <w:rsid w:val="005C6375"/>
    <w:rsid w:val="005D1445"/>
    <w:rsid w:val="005D26BD"/>
    <w:rsid w:val="005D2964"/>
    <w:rsid w:val="005D7179"/>
    <w:rsid w:val="005E2E96"/>
    <w:rsid w:val="005E335E"/>
    <w:rsid w:val="005E4542"/>
    <w:rsid w:val="005E5A97"/>
    <w:rsid w:val="005F31CA"/>
    <w:rsid w:val="005F6AB8"/>
    <w:rsid w:val="005F75CA"/>
    <w:rsid w:val="006029E2"/>
    <w:rsid w:val="00602E8A"/>
    <w:rsid w:val="006045E0"/>
    <w:rsid w:val="00607C95"/>
    <w:rsid w:val="00612172"/>
    <w:rsid w:val="006124C2"/>
    <w:rsid w:val="00617F30"/>
    <w:rsid w:val="00620AB2"/>
    <w:rsid w:val="00623281"/>
    <w:rsid w:val="006245E7"/>
    <w:rsid w:val="006267A9"/>
    <w:rsid w:val="00627CCA"/>
    <w:rsid w:val="00631A2C"/>
    <w:rsid w:val="00633DB8"/>
    <w:rsid w:val="006341FF"/>
    <w:rsid w:val="00637359"/>
    <w:rsid w:val="00641C57"/>
    <w:rsid w:val="0064458A"/>
    <w:rsid w:val="0065544B"/>
    <w:rsid w:val="00655D1D"/>
    <w:rsid w:val="00656588"/>
    <w:rsid w:val="00664FF4"/>
    <w:rsid w:val="00665184"/>
    <w:rsid w:val="006705C4"/>
    <w:rsid w:val="00672A47"/>
    <w:rsid w:val="0067324F"/>
    <w:rsid w:val="00673378"/>
    <w:rsid w:val="00674AE3"/>
    <w:rsid w:val="00682A58"/>
    <w:rsid w:val="00684121"/>
    <w:rsid w:val="00684BE7"/>
    <w:rsid w:val="00691616"/>
    <w:rsid w:val="00693016"/>
    <w:rsid w:val="006937C6"/>
    <w:rsid w:val="006950C5"/>
    <w:rsid w:val="006A180A"/>
    <w:rsid w:val="006A756C"/>
    <w:rsid w:val="006A7F2B"/>
    <w:rsid w:val="006B4E4F"/>
    <w:rsid w:val="006C03C9"/>
    <w:rsid w:val="006C0A3E"/>
    <w:rsid w:val="006C12A9"/>
    <w:rsid w:val="006C5274"/>
    <w:rsid w:val="006D18C0"/>
    <w:rsid w:val="006D3EEB"/>
    <w:rsid w:val="006E27BB"/>
    <w:rsid w:val="006E338D"/>
    <w:rsid w:val="006E3AFE"/>
    <w:rsid w:val="006E4477"/>
    <w:rsid w:val="006E51B4"/>
    <w:rsid w:val="006E7944"/>
    <w:rsid w:val="006F1658"/>
    <w:rsid w:val="006F379A"/>
    <w:rsid w:val="006F3F8D"/>
    <w:rsid w:val="006F516D"/>
    <w:rsid w:val="006F6F5D"/>
    <w:rsid w:val="0070395C"/>
    <w:rsid w:val="00710077"/>
    <w:rsid w:val="00710172"/>
    <w:rsid w:val="007101C0"/>
    <w:rsid w:val="00712B14"/>
    <w:rsid w:val="00717D37"/>
    <w:rsid w:val="00721F5D"/>
    <w:rsid w:val="00725CC5"/>
    <w:rsid w:val="00730D83"/>
    <w:rsid w:val="007349AD"/>
    <w:rsid w:val="00741675"/>
    <w:rsid w:val="00742113"/>
    <w:rsid w:val="00742E7E"/>
    <w:rsid w:val="007471AD"/>
    <w:rsid w:val="00750665"/>
    <w:rsid w:val="0075557E"/>
    <w:rsid w:val="00756259"/>
    <w:rsid w:val="00756327"/>
    <w:rsid w:val="007567C7"/>
    <w:rsid w:val="00757507"/>
    <w:rsid w:val="0076002B"/>
    <w:rsid w:val="00760547"/>
    <w:rsid w:val="00761BC7"/>
    <w:rsid w:val="007719BF"/>
    <w:rsid w:val="00774453"/>
    <w:rsid w:val="00775B7F"/>
    <w:rsid w:val="00776624"/>
    <w:rsid w:val="00777D65"/>
    <w:rsid w:val="00791588"/>
    <w:rsid w:val="007925C3"/>
    <w:rsid w:val="00797C66"/>
    <w:rsid w:val="007A0226"/>
    <w:rsid w:val="007A055C"/>
    <w:rsid w:val="007A2C62"/>
    <w:rsid w:val="007A327D"/>
    <w:rsid w:val="007A4848"/>
    <w:rsid w:val="007A5828"/>
    <w:rsid w:val="007A5CCF"/>
    <w:rsid w:val="007A633D"/>
    <w:rsid w:val="007A7733"/>
    <w:rsid w:val="007A7AE2"/>
    <w:rsid w:val="007A7F20"/>
    <w:rsid w:val="007B060E"/>
    <w:rsid w:val="007B1511"/>
    <w:rsid w:val="007B3177"/>
    <w:rsid w:val="007B327F"/>
    <w:rsid w:val="007B552D"/>
    <w:rsid w:val="007B7377"/>
    <w:rsid w:val="007B7B39"/>
    <w:rsid w:val="007C1037"/>
    <w:rsid w:val="007C2C0C"/>
    <w:rsid w:val="007D0516"/>
    <w:rsid w:val="007D21D4"/>
    <w:rsid w:val="007D4271"/>
    <w:rsid w:val="007D5E07"/>
    <w:rsid w:val="007D772B"/>
    <w:rsid w:val="007E0F65"/>
    <w:rsid w:val="007E2414"/>
    <w:rsid w:val="007E4DDC"/>
    <w:rsid w:val="007E62F8"/>
    <w:rsid w:val="007E7421"/>
    <w:rsid w:val="007F053D"/>
    <w:rsid w:val="007F1018"/>
    <w:rsid w:val="007F1145"/>
    <w:rsid w:val="007F6ABD"/>
    <w:rsid w:val="0080267F"/>
    <w:rsid w:val="00806F5D"/>
    <w:rsid w:val="008072EE"/>
    <w:rsid w:val="0081317A"/>
    <w:rsid w:val="008145E6"/>
    <w:rsid w:val="0081676E"/>
    <w:rsid w:val="008179B0"/>
    <w:rsid w:val="00820DEB"/>
    <w:rsid w:val="0082235C"/>
    <w:rsid w:val="00823B17"/>
    <w:rsid w:val="008245D8"/>
    <w:rsid w:val="00824612"/>
    <w:rsid w:val="00825A50"/>
    <w:rsid w:val="00827507"/>
    <w:rsid w:val="0083160B"/>
    <w:rsid w:val="008415E2"/>
    <w:rsid w:val="0084399C"/>
    <w:rsid w:val="0084524A"/>
    <w:rsid w:val="0084795E"/>
    <w:rsid w:val="00851C08"/>
    <w:rsid w:val="00851C1C"/>
    <w:rsid w:val="008547EF"/>
    <w:rsid w:val="008547FB"/>
    <w:rsid w:val="00854C93"/>
    <w:rsid w:val="0086044A"/>
    <w:rsid w:val="00867B85"/>
    <w:rsid w:val="0087175C"/>
    <w:rsid w:val="00874458"/>
    <w:rsid w:val="0088266F"/>
    <w:rsid w:val="008842C1"/>
    <w:rsid w:val="00884F8E"/>
    <w:rsid w:val="00885064"/>
    <w:rsid w:val="00885C78"/>
    <w:rsid w:val="0088723B"/>
    <w:rsid w:val="00887CEE"/>
    <w:rsid w:val="00887D4C"/>
    <w:rsid w:val="00892BF3"/>
    <w:rsid w:val="00893887"/>
    <w:rsid w:val="0089647F"/>
    <w:rsid w:val="008A7C19"/>
    <w:rsid w:val="008B6C60"/>
    <w:rsid w:val="008C119A"/>
    <w:rsid w:val="008C366C"/>
    <w:rsid w:val="008C4E19"/>
    <w:rsid w:val="008D0417"/>
    <w:rsid w:val="008D1367"/>
    <w:rsid w:val="008D2A88"/>
    <w:rsid w:val="008D39DF"/>
    <w:rsid w:val="008D74CF"/>
    <w:rsid w:val="008E10F4"/>
    <w:rsid w:val="008E395B"/>
    <w:rsid w:val="008E4395"/>
    <w:rsid w:val="008E5149"/>
    <w:rsid w:val="008E6096"/>
    <w:rsid w:val="008F1D4C"/>
    <w:rsid w:val="008F283B"/>
    <w:rsid w:val="008F4E95"/>
    <w:rsid w:val="008F65CA"/>
    <w:rsid w:val="00902139"/>
    <w:rsid w:val="00915122"/>
    <w:rsid w:val="00916E8D"/>
    <w:rsid w:val="00920CC5"/>
    <w:rsid w:val="009217F7"/>
    <w:rsid w:val="00921B55"/>
    <w:rsid w:val="00923203"/>
    <w:rsid w:val="00930D03"/>
    <w:rsid w:val="009378DC"/>
    <w:rsid w:val="00937F9B"/>
    <w:rsid w:val="00942639"/>
    <w:rsid w:val="00944575"/>
    <w:rsid w:val="00944825"/>
    <w:rsid w:val="00945569"/>
    <w:rsid w:val="009471AA"/>
    <w:rsid w:val="00951419"/>
    <w:rsid w:val="00953A97"/>
    <w:rsid w:val="00954EF4"/>
    <w:rsid w:val="009562EC"/>
    <w:rsid w:val="00957E33"/>
    <w:rsid w:val="0096326D"/>
    <w:rsid w:val="00973D5F"/>
    <w:rsid w:val="00976C82"/>
    <w:rsid w:val="00980FE4"/>
    <w:rsid w:val="009836E4"/>
    <w:rsid w:val="0098419D"/>
    <w:rsid w:val="00986B5F"/>
    <w:rsid w:val="00986F06"/>
    <w:rsid w:val="00995D9D"/>
    <w:rsid w:val="009977C9"/>
    <w:rsid w:val="009A30F7"/>
    <w:rsid w:val="009A467D"/>
    <w:rsid w:val="009A4768"/>
    <w:rsid w:val="009A66B7"/>
    <w:rsid w:val="009A69FA"/>
    <w:rsid w:val="009A7211"/>
    <w:rsid w:val="009B4E05"/>
    <w:rsid w:val="009B550A"/>
    <w:rsid w:val="009B79D8"/>
    <w:rsid w:val="009C01D2"/>
    <w:rsid w:val="009C3452"/>
    <w:rsid w:val="009D41B4"/>
    <w:rsid w:val="009D5FCA"/>
    <w:rsid w:val="009D64BD"/>
    <w:rsid w:val="009E0513"/>
    <w:rsid w:val="009E0A02"/>
    <w:rsid w:val="009E25B2"/>
    <w:rsid w:val="009E2C4D"/>
    <w:rsid w:val="009F239F"/>
    <w:rsid w:val="009F3FEA"/>
    <w:rsid w:val="009F42A4"/>
    <w:rsid w:val="009F5458"/>
    <w:rsid w:val="00A03D4F"/>
    <w:rsid w:val="00A04DC4"/>
    <w:rsid w:val="00A04FFB"/>
    <w:rsid w:val="00A05903"/>
    <w:rsid w:val="00A119BB"/>
    <w:rsid w:val="00A11B6B"/>
    <w:rsid w:val="00A11BB3"/>
    <w:rsid w:val="00A11C83"/>
    <w:rsid w:val="00A11CB9"/>
    <w:rsid w:val="00A204E5"/>
    <w:rsid w:val="00A232C2"/>
    <w:rsid w:val="00A255D1"/>
    <w:rsid w:val="00A27F3C"/>
    <w:rsid w:val="00A30337"/>
    <w:rsid w:val="00A30B31"/>
    <w:rsid w:val="00A33F3D"/>
    <w:rsid w:val="00A34626"/>
    <w:rsid w:val="00A36248"/>
    <w:rsid w:val="00A4200C"/>
    <w:rsid w:val="00A4269A"/>
    <w:rsid w:val="00A4508B"/>
    <w:rsid w:val="00A45271"/>
    <w:rsid w:val="00A50C22"/>
    <w:rsid w:val="00A52EE4"/>
    <w:rsid w:val="00A61570"/>
    <w:rsid w:val="00A61CA7"/>
    <w:rsid w:val="00A65C06"/>
    <w:rsid w:val="00A65DBD"/>
    <w:rsid w:val="00A67A7C"/>
    <w:rsid w:val="00A71FFD"/>
    <w:rsid w:val="00A7290B"/>
    <w:rsid w:val="00A72922"/>
    <w:rsid w:val="00A74F59"/>
    <w:rsid w:val="00A753D7"/>
    <w:rsid w:val="00A77026"/>
    <w:rsid w:val="00A823A4"/>
    <w:rsid w:val="00A836D1"/>
    <w:rsid w:val="00A86B45"/>
    <w:rsid w:val="00A90C45"/>
    <w:rsid w:val="00A936A0"/>
    <w:rsid w:val="00A938A9"/>
    <w:rsid w:val="00AA07C9"/>
    <w:rsid w:val="00AA1524"/>
    <w:rsid w:val="00AA1557"/>
    <w:rsid w:val="00AA3BA8"/>
    <w:rsid w:val="00AA4B81"/>
    <w:rsid w:val="00AA779E"/>
    <w:rsid w:val="00AB01C2"/>
    <w:rsid w:val="00AB167B"/>
    <w:rsid w:val="00AB4A98"/>
    <w:rsid w:val="00AB70F9"/>
    <w:rsid w:val="00AB7255"/>
    <w:rsid w:val="00AB7D75"/>
    <w:rsid w:val="00AC0559"/>
    <w:rsid w:val="00AD3DD0"/>
    <w:rsid w:val="00AD7E03"/>
    <w:rsid w:val="00AE0CA1"/>
    <w:rsid w:val="00AE3B2E"/>
    <w:rsid w:val="00AE3BB1"/>
    <w:rsid w:val="00AE6304"/>
    <w:rsid w:val="00AE7661"/>
    <w:rsid w:val="00AF0095"/>
    <w:rsid w:val="00AF29C1"/>
    <w:rsid w:val="00AF5435"/>
    <w:rsid w:val="00B00D40"/>
    <w:rsid w:val="00B07A5F"/>
    <w:rsid w:val="00B10562"/>
    <w:rsid w:val="00B21D6E"/>
    <w:rsid w:val="00B235FB"/>
    <w:rsid w:val="00B31634"/>
    <w:rsid w:val="00B3259F"/>
    <w:rsid w:val="00B3433C"/>
    <w:rsid w:val="00B35896"/>
    <w:rsid w:val="00B36933"/>
    <w:rsid w:val="00B41E80"/>
    <w:rsid w:val="00B42979"/>
    <w:rsid w:val="00B43647"/>
    <w:rsid w:val="00B444F0"/>
    <w:rsid w:val="00B46A5B"/>
    <w:rsid w:val="00B47229"/>
    <w:rsid w:val="00B51169"/>
    <w:rsid w:val="00B51D0F"/>
    <w:rsid w:val="00B51F62"/>
    <w:rsid w:val="00B6149B"/>
    <w:rsid w:val="00B65BF0"/>
    <w:rsid w:val="00B702AF"/>
    <w:rsid w:val="00B75022"/>
    <w:rsid w:val="00B75312"/>
    <w:rsid w:val="00B76A95"/>
    <w:rsid w:val="00B81D9B"/>
    <w:rsid w:val="00B90B08"/>
    <w:rsid w:val="00B91351"/>
    <w:rsid w:val="00B91871"/>
    <w:rsid w:val="00B9200C"/>
    <w:rsid w:val="00B9760A"/>
    <w:rsid w:val="00BA21A9"/>
    <w:rsid w:val="00BA4160"/>
    <w:rsid w:val="00BA4552"/>
    <w:rsid w:val="00BA5418"/>
    <w:rsid w:val="00BC015D"/>
    <w:rsid w:val="00BC1875"/>
    <w:rsid w:val="00BC5516"/>
    <w:rsid w:val="00BC5DFA"/>
    <w:rsid w:val="00BD0147"/>
    <w:rsid w:val="00BD246B"/>
    <w:rsid w:val="00BD661F"/>
    <w:rsid w:val="00BD66F6"/>
    <w:rsid w:val="00BE3216"/>
    <w:rsid w:val="00BE6288"/>
    <w:rsid w:val="00BE73C1"/>
    <w:rsid w:val="00C00402"/>
    <w:rsid w:val="00C00AB1"/>
    <w:rsid w:val="00C1240B"/>
    <w:rsid w:val="00C12F95"/>
    <w:rsid w:val="00C13E8A"/>
    <w:rsid w:val="00C1442E"/>
    <w:rsid w:val="00C232F8"/>
    <w:rsid w:val="00C24E0D"/>
    <w:rsid w:val="00C30C4F"/>
    <w:rsid w:val="00C370F9"/>
    <w:rsid w:val="00C41660"/>
    <w:rsid w:val="00C46959"/>
    <w:rsid w:val="00C475E9"/>
    <w:rsid w:val="00C52ABC"/>
    <w:rsid w:val="00C53176"/>
    <w:rsid w:val="00C5628A"/>
    <w:rsid w:val="00C5704B"/>
    <w:rsid w:val="00C57542"/>
    <w:rsid w:val="00C60F81"/>
    <w:rsid w:val="00C614BD"/>
    <w:rsid w:val="00C6182C"/>
    <w:rsid w:val="00C61A9F"/>
    <w:rsid w:val="00C62AF6"/>
    <w:rsid w:val="00C63857"/>
    <w:rsid w:val="00C650F4"/>
    <w:rsid w:val="00C66A15"/>
    <w:rsid w:val="00C678C0"/>
    <w:rsid w:val="00C70F61"/>
    <w:rsid w:val="00C732E7"/>
    <w:rsid w:val="00C76247"/>
    <w:rsid w:val="00C8073B"/>
    <w:rsid w:val="00C822A6"/>
    <w:rsid w:val="00C85545"/>
    <w:rsid w:val="00C87291"/>
    <w:rsid w:val="00C87342"/>
    <w:rsid w:val="00C901CD"/>
    <w:rsid w:val="00C9308C"/>
    <w:rsid w:val="00C949A2"/>
    <w:rsid w:val="00C94EFB"/>
    <w:rsid w:val="00C97A3B"/>
    <w:rsid w:val="00CB5A34"/>
    <w:rsid w:val="00CB7092"/>
    <w:rsid w:val="00CD2A6A"/>
    <w:rsid w:val="00CD38FA"/>
    <w:rsid w:val="00CD559E"/>
    <w:rsid w:val="00CE14D5"/>
    <w:rsid w:val="00CE187B"/>
    <w:rsid w:val="00CE1ED3"/>
    <w:rsid w:val="00CE210B"/>
    <w:rsid w:val="00CE2C7B"/>
    <w:rsid w:val="00CE55C5"/>
    <w:rsid w:val="00CE5C16"/>
    <w:rsid w:val="00CE6544"/>
    <w:rsid w:val="00CE7916"/>
    <w:rsid w:val="00CF35BC"/>
    <w:rsid w:val="00CF6A64"/>
    <w:rsid w:val="00CF6C6C"/>
    <w:rsid w:val="00CF7ECC"/>
    <w:rsid w:val="00D02072"/>
    <w:rsid w:val="00D027A8"/>
    <w:rsid w:val="00D05290"/>
    <w:rsid w:val="00D052DE"/>
    <w:rsid w:val="00D10F0B"/>
    <w:rsid w:val="00D11355"/>
    <w:rsid w:val="00D11E8D"/>
    <w:rsid w:val="00D254E9"/>
    <w:rsid w:val="00D3064C"/>
    <w:rsid w:val="00D40517"/>
    <w:rsid w:val="00D44F1D"/>
    <w:rsid w:val="00D4521E"/>
    <w:rsid w:val="00D4750A"/>
    <w:rsid w:val="00D51B3D"/>
    <w:rsid w:val="00D524DC"/>
    <w:rsid w:val="00D54B04"/>
    <w:rsid w:val="00D626CB"/>
    <w:rsid w:val="00D73D1E"/>
    <w:rsid w:val="00D74C5F"/>
    <w:rsid w:val="00D763F8"/>
    <w:rsid w:val="00D8017C"/>
    <w:rsid w:val="00D80632"/>
    <w:rsid w:val="00D85485"/>
    <w:rsid w:val="00D878D3"/>
    <w:rsid w:val="00D87FC8"/>
    <w:rsid w:val="00D912FC"/>
    <w:rsid w:val="00D964CF"/>
    <w:rsid w:val="00DA01A5"/>
    <w:rsid w:val="00DA0EF1"/>
    <w:rsid w:val="00DB0896"/>
    <w:rsid w:val="00DB0B42"/>
    <w:rsid w:val="00DB19ED"/>
    <w:rsid w:val="00DB47DE"/>
    <w:rsid w:val="00DB649C"/>
    <w:rsid w:val="00DB67E3"/>
    <w:rsid w:val="00DC03A5"/>
    <w:rsid w:val="00DC373A"/>
    <w:rsid w:val="00DC6C49"/>
    <w:rsid w:val="00DD2298"/>
    <w:rsid w:val="00DD49D3"/>
    <w:rsid w:val="00DD5422"/>
    <w:rsid w:val="00DD7873"/>
    <w:rsid w:val="00DF125B"/>
    <w:rsid w:val="00DF6DC2"/>
    <w:rsid w:val="00E00857"/>
    <w:rsid w:val="00E05AEA"/>
    <w:rsid w:val="00E111CA"/>
    <w:rsid w:val="00E15C7B"/>
    <w:rsid w:val="00E21164"/>
    <w:rsid w:val="00E24D9A"/>
    <w:rsid w:val="00E311F0"/>
    <w:rsid w:val="00E313DB"/>
    <w:rsid w:val="00E318F0"/>
    <w:rsid w:val="00E339A7"/>
    <w:rsid w:val="00E34458"/>
    <w:rsid w:val="00E36DA4"/>
    <w:rsid w:val="00E41F2B"/>
    <w:rsid w:val="00E44140"/>
    <w:rsid w:val="00E47460"/>
    <w:rsid w:val="00E47F27"/>
    <w:rsid w:val="00E50AC7"/>
    <w:rsid w:val="00E51651"/>
    <w:rsid w:val="00E51B43"/>
    <w:rsid w:val="00E51DBC"/>
    <w:rsid w:val="00E5320F"/>
    <w:rsid w:val="00E60DFA"/>
    <w:rsid w:val="00E62156"/>
    <w:rsid w:val="00E6242A"/>
    <w:rsid w:val="00E628B8"/>
    <w:rsid w:val="00E62D30"/>
    <w:rsid w:val="00E64AE1"/>
    <w:rsid w:val="00E66F2C"/>
    <w:rsid w:val="00E67258"/>
    <w:rsid w:val="00E67341"/>
    <w:rsid w:val="00E718A8"/>
    <w:rsid w:val="00E7516F"/>
    <w:rsid w:val="00E76940"/>
    <w:rsid w:val="00E76F52"/>
    <w:rsid w:val="00E8081A"/>
    <w:rsid w:val="00E82B8E"/>
    <w:rsid w:val="00E82C51"/>
    <w:rsid w:val="00E8398B"/>
    <w:rsid w:val="00E84A60"/>
    <w:rsid w:val="00E901CE"/>
    <w:rsid w:val="00E90248"/>
    <w:rsid w:val="00E91BAB"/>
    <w:rsid w:val="00E9218C"/>
    <w:rsid w:val="00E93282"/>
    <w:rsid w:val="00E954ED"/>
    <w:rsid w:val="00E95643"/>
    <w:rsid w:val="00EA16F0"/>
    <w:rsid w:val="00EA1974"/>
    <w:rsid w:val="00EA19C0"/>
    <w:rsid w:val="00EA4750"/>
    <w:rsid w:val="00EA61E8"/>
    <w:rsid w:val="00EB002B"/>
    <w:rsid w:val="00EB0E17"/>
    <w:rsid w:val="00EB5EBE"/>
    <w:rsid w:val="00EB7084"/>
    <w:rsid w:val="00EC2255"/>
    <w:rsid w:val="00EC7A73"/>
    <w:rsid w:val="00ED0689"/>
    <w:rsid w:val="00ED19FA"/>
    <w:rsid w:val="00ED6136"/>
    <w:rsid w:val="00EE35FB"/>
    <w:rsid w:val="00EE673F"/>
    <w:rsid w:val="00EE7F71"/>
    <w:rsid w:val="00EF0432"/>
    <w:rsid w:val="00EF24F5"/>
    <w:rsid w:val="00EF5494"/>
    <w:rsid w:val="00EF76BA"/>
    <w:rsid w:val="00F029DE"/>
    <w:rsid w:val="00F03397"/>
    <w:rsid w:val="00F0694B"/>
    <w:rsid w:val="00F06DBB"/>
    <w:rsid w:val="00F2414A"/>
    <w:rsid w:val="00F25067"/>
    <w:rsid w:val="00F2669E"/>
    <w:rsid w:val="00F27190"/>
    <w:rsid w:val="00F2767F"/>
    <w:rsid w:val="00F376FB"/>
    <w:rsid w:val="00F448FF"/>
    <w:rsid w:val="00F44D85"/>
    <w:rsid w:val="00F479A1"/>
    <w:rsid w:val="00F479D7"/>
    <w:rsid w:val="00F50B64"/>
    <w:rsid w:val="00F53740"/>
    <w:rsid w:val="00F6620F"/>
    <w:rsid w:val="00F67C06"/>
    <w:rsid w:val="00F71717"/>
    <w:rsid w:val="00F74617"/>
    <w:rsid w:val="00F80219"/>
    <w:rsid w:val="00F81164"/>
    <w:rsid w:val="00F817AA"/>
    <w:rsid w:val="00F83F81"/>
    <w:rsid w:val="00F84E7E"/>
    <w:rsid w:val="00F8613D"/>
    <w:rsid w:val="00F923EB"/>
    <w:rsid w:val="00F92DF3"/>
    <w:rsid w:val="00F940B2"/>
    <w:rsid w:val="00F9690D"/>
    <w:rsid w:val="00F97F48"/>
    <w:rsid w:val="00FA1880"/>
    <w:rsid w:val="00FA4942"/>
    <w:rsid w:val="00FA5AE3"/>
    <w:rsid w:val="00FA605E"/>
    <w:rsid w:val="00FA7D41"/>
    <w:rsid w:val="00FA7F94"/>
    <w:rsid w:val="00FB04AF"/>
    <w:rsid w:val="00FB15DD"/>
    <w:rsid w:val="00FB1A67"/>
    <w:rsid w:val="00FB31C2"/>
    <w:rsid w:val="00FB4454"/>
    <w:rsid w:val="00FB5F7D"/>
    <w:rsid w:val="00FC67ED"/>
    <w:rsid w:val="00FD35EF"/>
    <w:rsid w:val="00FD65DB"/>
    <w:rsid w:val="00FE415D"/>
    <w:rsid w:val="00FE55C3"/>
    <w:rsid w:val="00FF085E"/>
    <w:rsid w:val="00FF425D"/>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63">
      <o:colormru v:ext="edit" colors="#dd7433"/>
    </o:shapedefaults>
    <o:shapelayout v:ext="edit">
      <o:idmap v:ext="edit" data="1"/>
    </o:shapelayout>
  </w:shapeDefaults>
  <w:decimalSymbol w:val="."/>
  <w:listSeparator w:val=","/>
  <w14:docId w14:val="16D45C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Cambria" w:hAnsiTheme="minorHAnsi" w:cstheme="minorBidi"/>
        <w:sz w:val="24"/>
        <w:szCs w:val="24"/>
        <w:lang w:val="en-AU" w:eastAsia="en-US" w:bidi="ar-SA"/>
      </w:rPr>
    </w:rPrDefault>
    <w:pPrDefault/>
  </w:docDefaults>
  <w:latentStyles w:defLockedState="0" w:defUIPriority="0" w:defSemiHidden="1" w:defUnhideWhenUsed="1" w:defQFormat="0" w:count="267">
    <w:lsdException w:name="Normal" w:semiHidden="0" w:uiPriority="99" w:unhideWhenUsed="0" w:qFormat="1"/>
    <w:lsdException w:name="heading 1" w:semiHidden="0" w:unhideWhenUsed="0" w:qFormat="1"/>
    <w:lsdException w:name="heading 2" w:qFormat="1"/>
    <w:lsdException w:name="heading 3" w:qFormat="1"/>
    <w:lsdException w:name="heading 4" w:semiHidden="0" w:unhideWhenUsed="0" w:qFormat="1"/>
    <w:lsdException w:name="heading 5" w:uiPriority="99" w:unhideWhenUsed="0"/>
    <w:lsdException w:name="heading 6" w:uiPriority="99" w:unhideWhenUsed="0"/>
    <w:lsdException w:name="heading 7" w:uiPriority="99"/>
    <w:lsdException w:name="heading 8" w:uiPriority="99"/>
    <w:lsdException w:name="heading 9" w:uiPriority="99"/>
    <w:lsdException w:name="index 1" w:uiPriority="99"/>
    <w:lsdException w:name="index 2" w:uiPriority="99"/>
    <w:lsdException w:name="index 3" w:uiPriority="99"/>
    <w:lsdException w:name="index 4" w:uiPriority="99"/>
    <w:lsdException w:name="index 5" w:uiPriority="99"/>
    <w:lsdException w:name="index 6" w:uiPriority="99"/>
    <w:lsdException w:name="index 7" w:uiPriority="99"/>
    <w:lsdException w:name="index 8" w:uiPriority="99"/>
    <w:lsdException w:name="index 9" w:uiPriority="99"/>
    <w:lsdException w:name="toc 1" w:uiPriority="39" w:qFormat="1"/>
    <w:lsdException w:name="toc 2" w:uiPriority="39" w:qFormat="1"/>
    <w:lsdException w:name="toc 3" w:uiPriority="39" w:qFormat="1"/>
    <w:lsdException w:name="toc 4" w:uiPriority="39"/>
    <w:lsdException w:name="toc 5" w:uiPriority="39"/>
    <w:lsdException w:name="toc 6" w:uiPriority="99"/>
    <w:lsdException w:name="toc 7" w:uiPriority="99"/>
    <w:lsdException w:name="toc 8" w:uiPriority="99"/>
    <w:lsdException w:name="toc 9" w:uiPriority="99"/>
    <w:lsdException w:name="Normal Indent" w:uiPriority="99"/>
    <w:lsdException w:name="footnote text" w:uiPriority="99"/>
    <w:lsdException w:name="annotation text" w:uiPriority="99"/>
    <w:lsdException w:name="header" w:uiPriority="99"/>
    <w:lsdException w:name="footer" w:uiPriority="99"/>
    <w:lsdException w:name="index heading" w:uiPriority="99"/>
    <w:lsdException w:name="caption" w:uiPriority="5" w:qFormat="1"/>
    <w:lsdException w:name="table of figures" w:uiPriority="99"/>
    <w:lsdException w:name="envelope address" w:uiPriority="99"/>
    <w:lsdException w:name="envelope return" w:uiPriority="99"/>
    <w:lsdException w:name="footnote reference" w:uiPriority="99"/>
    <w:lsdException w:name="annotation reference" w:uiPriority="99"/>
    <w:lsdException w:name="line number" w:uiPriority="99"/>
    <w:lsdException w:name="page number" w:uiPriority="99"/>
    <w:lsdException w:name="endnote reference" w:uiPriority="99"/>
    <w:lsdException w:name="endnote text" w:uiPriority="99"/>
    <w:lsdException w:name="table of authorities" w:uiPriority="99"/>
    <w:lsdException w:name="macro" w:uiPriority="99"/>
    <w:lsdException w:name="toa heading" w:uiPriority="99"/>
    <w:lsdException w:name="List" w:uiPriority="99"/>
    <w:lsdException w:name="List Bullet" w:uiPriority="3" w:qFormat="1"/>
    <w:lsdException w:name="List Number" w:semiHidden="0" w:uiPriority="3" w:unhideWhenUsed="0"/>
    <w:lsdException w:name="List 2" w:uiPriority="99"/>
    <w:lsdException w:name="List 3" w:uiPriority="99"/>
    <w:lsdException w:name="List 4" w:semiHidden="0" w:uiPriority="99" w:unhideWhenUsed="0"/>
    <w:lsdException w:name="List 5" w:semiHidden="0" w:uiPriority="99" w:unhideWhenUsed="0"/>
    <w:lsdException w:name="List Bullet 2" w:uiPriority="3" w:qFormat="1"/>
    <w:lsdException w:name="List Bullet 3" w:uiPriority="3"/>
    <w:lsdException w:name="List Bullet 4" w:uiPriority="3"/>
    <w:lsdException w:name="List Bullet 5" w:uiPriority="3"/>
    <w:lsdException w:name="List Number 2" w:uiPriority="3"/>
    <w:lsdException w:name="List Number 3" w:uiPriority="3"/>
    <w:lsdException w:name="List Number 4" w:uiPriority="3"/>
    <w:lsdException w:name="List Number 5" w:uiPriority="3"/>
    <w:lsdException w:name="Title" w:semiHidden="0" w:uiPriority="99" w:unhideWhenUsed="0"/>
    <w:lsdException w:name="Closing" w:uiPriority="99"/>
    <w:lsdException w:name="Signature" w:uiPriority="99"/>
    <w:lsdException w:name="Default Paragraph Font" w:uiPriority="1"/>
    <w:lsdException w:name="Body Text" w:uiPriority="2" w:qFormat="1"/>
    <w:lsdException w:name="Body Text Indent" w:uiPriority="99"/>
    <w:lsdException w:name="List Continue" w:uiPriority="99"/>
    <w:lsdException w:name="List Continue 2" w:uiPriority="99"/>
    <w:lsdException w:name="List Continue 3" w:uiPriority="99"/>
    <w:lsdException w:name="List Continue 4" w:uiPriority="99"/>
    <w:lsdException w:name="List Continue 5" w:uiPriority="99"/>
    <w:lsdException w:name="Message Header" w:uiPriority="99"/>
    <w:lsdException w:name="Subtitle" w:semiHidden="0" w:uiPriority="99" w:unhideWhenUsed="0"/>
    <w:lsdException w:name="Salutation" w:semiHidden="0" w:uiPriority="99" w:unhideWhenUsed="0"/>
    <w:lsdException w:name="Date" w:uiPriority="99"/>
    <w:lsdException w:name="Body Text First Indent" w:semiHidden="0" w:uiPriority="99" w:unhideWhenUsed="0"/>
    <w:lsdException w:name="Body Text First Indent 2" w:uiPriority="99"/>
    <w:lsdException w:name="Note Heading" w:uiPriority="99"/>
    <w:lsdException w:name="Body Text 2" w:uiPriority="8"/>
    <w:lsdException w:name="Body Text 3" w:uiPriority="8"/>
    <w:lsdException w:name="Body Text Indent 2" w:uiPriority="3"/>
    <w:lsdException w:name="Body Text Indent 3" w:uiPriority="3"/>
    <w:lsdException w:name="Block Text" w:uiPriority="99"/>
    <w:lsdException w:name="Hyperlink" w:uiPriority="99"/>
    <w:lsdException w:name="FollowedHyperlink" w:uiPriority="99"/>
    <w:lsdException w:name="Strong" w:semiHidden="0" w:uiPriority="99" w:unhideWhenUsed="0"/>
    <w:lsdException w:name="Emphasis" w:uiPriority="99"/>
    <w:lsdException w:name="Document Map" w:uiPriority="99"/>
    <w:lsdException w:name="Plain Text" w:uiPriority="99"/>
    <w:lsdException w:name="E-mail Signature" w:uiPriority="99"/>
    <w:lsdException w:name="HTML Top of Form" w:uiPriority="99"/>
    <w:lsdException w:name="HTML Bottom of Form" w:uiPriority="99"/>
    <w:lsdException w:name="Normal (Web)" w:uiPriority="99"/>
    <w:lsdException w:name="HTML Acronym" w:uiPriority="99"/>
    <w:lsdException w:name="HTML Address" w:uiPriority="99"/>
    <w:lsdException w:name="HTML Cite" w:uiPriority="99"/>
    <w:lsdException w:name="HTML Code" w:uiPriority="99"/>
    <w:lsdException w:name="HTML Definition" w:uiPriority="99"/>
    <w:lsdException w:name="HTML Keyboard" w:uiPriority="99"/>
    <w:lsdException w:name="HTML Preformatted" w:uiPriority="99"/>
    <w:lsdException w:name="HTML Sample" w:uiPriority="99"/>
    <w:lsdException w:name="HTML Typewriter" w:uiPriority="99"/>
    <w:lsdException w:name="HTML Variable" w:uiPriority="99"/>
    <w:lsdException w:name="Normal Table" w:uiPriority="99"/>
    <w:lsdException w:name="annotation subject" w:uiPriority="99"/>
    <w:lsdException w:name="No List" w:uiPriority="99"/>
    <w:lsdException w:name="Balloon Text" w:uiPriority="99"/>
    <w:lsdException w:name="Table Grid" w:semiHidden="0" w:uiPriority="59" w:unhideWhenUsed="0"/>
    <w:lsdException w:name="Placeholder Text" w:semiHidden="0" w:uiPriority="99" w:unhideWhenUsed="0"/>
    <w:lsdException w:name="No Spacing" w:semiHidden="0" w:uiPriority="99" w:unhideWhenUsed="0"/>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iPriority="99" w:unhideWhenUsed="0"/>
    <w:lsdException w:name="List Paragraph" w:semiHidden="0" w:uiPriority="99" w:unhideWhenUsed="0"/>
    <w:lsdException w:name="Quote" w:semiHidden="0" w:uiPriority="99" w:unhideWhenUsed="0"/>
    <w:lsdException w:name="Intense Quote" w:semiHidden="0" w:uiPriority="99"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iPriority="99" w:unhideWhenUsed="0"/>
    <w:lsdException w:name="Intense Emphasis" w:semiHidden="0" w:uiPriority="99" w:unhideWhenUsed="0"/>
    <w:lsdException w:name="Subtle Reference" w:semiHidden="0" w:uiPriority="99" w:unhideWhenUsed="0"/>
    <w:lsdException w:name="Intense Reference" w:semiHidden="0" w:uiPriority="99" w:unhideWhenUsed="0"/>
    <w:lsdException w:name="Book Title" w:uiPriority="99"/>
    <w:lsdException w:name="Bibliography" w:uiPriority="99"/>
    <w:lsdException w:name="TOC Heading" w:uiPriority="39" w:qFormat="1"/>
  </w:latentStyles>
  <w:style w:type="paragraph" w:default="1" w:styleId="Normal">
    <w:name w:val="Normal"/>
    <w:uiPriority w:val="99"/>
    <w:qFormat/>
    <w:rsid w:val="001A3268"/>
    <w:pPr>
      <w:spacing w:after="112" w:line="240" w:lineRule="exact"/>
    </w:pPr>
    <w:rPr>
      <w:rFonts w:ascii="Calibri" w:hAnsi="Calibri" w:cs="Times New Roman"/>
      <w:sz w:val="20"/>
    </w:rPr>
  </w:style>
  <w:style w:type="paragraph" w:styleId="Heading1">
    <w:name w:val="heading 1"/>
    <w:next w:val="Heading2"/>
    <w:link w:val="Heading1Char"/>
    <w:qFormat/>
    <w:rsid w:val="006E338D"/>
    <w:pPr>
      <w:keepNext/>
      <w:keepLines/>
      <w:pageBreakBefore/>
      <w:numPr>
        <w:numId w:val="6"/>
      </w:numPr>
      <w:pBdr>
        <w:bottom w:val="single" w:sz="4" w:space="1" w:color="E36C0A" w:themeColor="accent1"/>
      </w:pBdr>
      <w:spacing w:after="240"/>
      <w:ind w:left="426" w:hanging="426"/>
      <w:contextualSpacing/>
      <w:outlineLvl w:val="0"/>
    </w:pPr>
    <w:rPr>
      <w:rFonts w:ascii="Calibri" w:eastAsia="Times New Roman" w:hAnsi="Calibri" w:cs="Times New Roman"/>
      <w:b/>
      <w:bCs/>
      <w:caps/>
      <w:color w:val="DD7433"/>
      <w:sz w:val="36"/>
      <w:szCs w:val="32"/>
    </w:rPr>
  </w:style>
  <w:style w:type="paragraph" w:styleId="Heading2">
    <w:name w:val="heading 2"/>
    <w:next w:val="Heading3"/>
    <w:link w:val="Heading2Char"/>
    <w:qFormat/>
    <w:rsid w:val="00691616"/>
    <w:pPr>
      <w:keepNext/>
      <w:numPr>
        <w:ilvl w:val="1"/>
        <w:numId w:val="6"/>
      </w:numPr>
      <w:spacing w:before="240"/>
      <w:ind w:left="709" w:hanging="709"/>
      <w:outlineLvl w:val="1"/>
    </w:pPr>
    <w:rPr>
      <w:rFonts w:ascii="Calibri" w:eastAsia="Times New Roman" w:hAnsi="Calibri" w:cs="Times New Roman"/>
      <w:b/>
      <w:sz w:val="28"/>
      <w:szCs w:val="26"/>
    </w:rPr>
  </w:style>
  <w:style w:type="paragraph" w:styleId="Heading3">
    <w:name w:val="heading 3"/>
    <w:next w:val="BodyText"/>
    <w:link w:val="Heading3Char"/>
    <w:qFormat/>
    <w:rsid w:val="008C366C"/>
    <w:pPr>
      <w:keepNext/>
      <w:keepLines/>
      <w:numPr>
        <w:ilvl w:val="2"/>
        <w:numId w:val="6"/>
      </w:numPr>
      <w:spacing w:before="240"/>
      <w:ind w:left="0" w:firstLine="0"/>
      <w:outlineLvl w:val="2"/>
    </w:pPr>
    <w:rPr>
      <w:rFonts w:ascii="Calibri" w:eastAsia="Times New Roman" w:hAnsi="Calibri" w:cs="Times New Roman"/>
      <w:b/>
      <w:bCs/>
      <w:color w:val="000000"/>
      <w:szCs w:val="26"/>
    </w:rPr>
  </w:style>
  <w:style w:type="paragraph" w:styleId="Heading4">
    <w:name w:val="heading 4"/>
    <w:next w:val="BodyText"/>
    <w:link w:val="Heading4Char"/>
    <w:qFormat/>
    <w:rsid w:val="0082235C"/>
    <w:pPr>
      <w:keepNext/>
      <w:spacing w:before="240"/>
      <w:outlineLvl w:val="3"/>
    </w:pPr>
    <w:rPr>
      <w:rFonts w:eastAsiaTheme="majorEastAsia" w:cstheme="majorBidi"/>
      <w:b/>
      <w:i/>
      <w:iCs/>
      <w:color w:val="000000"/>
      <w:sz w:val="22"/>
      <w:szCs w:val="26"/>
    </w:rPr>
  </w:style>
  <w:style w:type="paragraph" w:styleId="Heading5">
    <w:name w:val="heading 5"/>
    <w:basedOn w:val="Normal"/>
    <w:next w:val="Normal"/>
    <w:link w:val="Heading5Char"/>
    <w:uiPriority w:val="99"/>
    <w:semiHidden/>
    <w:rsid w:val="00BD0147"/>
    <w:pPr>
      <w:keepNext/>
      <w:keepLines/>
      <w:spacing w:before="200" w:after="0"/>
      <w:outlineLvl w:val="4"/>
    </w:pPr>
    <w:rPr>
      <w:rFonts w:asciiTheme="majorHAnsi" w:eastAsiaTheme="majorEastAsia" w:hAnsiTheme="majorHAnsi" w:cstheme="majorBidi"/>
      <w:color w:val="703505" w:themeColor="accent1" w:themeShade="7F"/>
    </w:rPr>
  </w:style>
  <w:style w:type="paragraph" w:styleId="Heading6">
    <w:name w:val="heading 6"/>
    <w:basedOn w:val="Normal"/>
    <w:next w:val="Normal"/>
    <w:link w:val="Heading6Char"/>
    <w:uiPriority w:val="99"/>
    <w:semiHidden/>
    <w:rsid w:val="00BD0147"/>
    <w:pPr>
      <w:keepNext/>
      <w:keepLines/>
      <w:spacing w:before="200" w:after="0"/>
      <w:outlineLvl w:val="5"/>
    </w:pPr>
    <w:rPr>
      <w:rFonts w:asciiTheme="majorHAnsi" w:eastAsiaTheme="majorEastAsia" w:hAnsiTheme="majorHAnsi" w:cstheme="majorBidi"/>
      <w:i/>
      <w:iCs/>
      <w:color w:val="703505" w:themeColor="accent1" w:themeShade="7F"/>
    </w:rPr>
  </w:style>
  <w:style w:type="paragraph" w:styleId="Heading7">
    <w:name w:val="heading 7"/>
    <w:basedOn w:val="Normal"/>
    <w:next w:val="Normal"/>
    <w:link w:val="Heading7Char"/>
    <w:uiPriority w:val="99"/>
    <w:semiHidden/>
    <w:unhideWhenUsed/>
    <w:rsid w:val="00BD0147"/>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9"/>
    <w:semiHidden/>
    <w:unhideWhenUsed/>
    <w:rsid w:val="00BD0147"/>
    <w:pPr>
      <w:keepNext/>
      <w:keepLines/>
      <w:spacing w:before="200" w:after="0"/>
      <w:outlineLvl w:val="7"/>
    </w:pPr>
    <w:rPr>
      <w:rFonts w:asciiTheme="majorHAnsi" w:eastAsiaTheme="majorEastAsia" w:hAnsiTheme="majorHAnsi" w:cstheme="majorBidi"/>
      <w:color w:val="404040" w:themeColor="text1" w:themeTint="BF"/>
      <w:szCs w:val="20"/>
    </w:rPr>
  </w:style>
  <w:style w:type="paragraph" w:styleId="Heading9">
    <w:name w:val="heading 9"/>
    <w:basedOn w:val="Normal"/>
    <w:next w:val="Normal"/>
    <w:link w:val="Heading9Char"/>
    <w:uiPriority w:val="99"/>
    <w:semiHidden/>
    <w:unhideWhenUsed/>
    <w:rsid w:val="00BD0147"/>
    <w:pPr>
      <w:keepNext/>
      <w:keepLines/>
      <w:spacing w:before="200" w:after="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6E338D"/>
    <w:rPr>
      <w:rFonts w:ascii="Calibri" w:eastAsia="Times New Roman" w:hAnsi="Calibri" w:cs="Times New Roman"/>
      <w:b/>
      <w:bCs/>
      <w:caps/>
      <w:color w:val="DD7433"/>
      <w:sz w:val="36"/>
      <w:szCs w:val="32"/>
    </w:rPr>
  </w:style>
  <w:style w:type="character" w:customStyle="1" w:styleId="Heading2Char">
    <w:name w:val="Heading 2 Char"/>
    <w:basedOn w:val="DefaultParagraphFont"/>
    <w:link w:val="Heading2"/>
    <w:rsid w:val="00691616"/>
    <w:rPr>
      <w:rFonts w:ascii="Calibri" w:eastAsia="Times New Roman" w:hAnsi="Calibri" w:cs="Times New Roman"/>
      <w:b/>
      <w:sz w:val="28"/>
      <w:szCs w:val="26"/>
    </w:rPr>
  </w:style>
  <w:style w:type="character" w:customStyle="1" w:styleId="Heading3Char">
    <w:name w:val="Heading 3 Char"/>
    <w:basedOn w:val="DefaultParagraphFont"/>
    <w:link w:val="Heading3"/>
    <w:rsid w:val="008C366C"/>
    <w:rPr>
      <w:rFonts w:ascii="Calibri" w:eastAsia="Times New Roman" w:hAnsi="Calibri" w:cs="Times New Roman"/>
      <w:b/>
      <w:bCs/>
      <w:color w:val="000000"/>
      <w:szCs w:val="26"/>
    </w:rPr>
  </w:style>
  <w:style w:type="table" w:styleId="TableGrid">
    <w:name w:val="Table Grid"/>
    <w:basedOn w:val="TableNormal"/>
    <w:uiPriority w:val="59"/>
    <w:rsid w:val="00806F5D"/>
    <w:rPr>
      <w:rFonts w:ascii="Cambria" w:hAnsi="Cambria" w:cs="Times New Roman"/>
      <w:sz w:val="20"/>
      <w:szCs w:val="20"/>
      <w:lang w:eastAsia="en-AU"/>
    </w:rPr>
    <w:tblPr>
      <w:tblBorders>
        <w:bottom w:val="single" w:sz="4" w:space="0" w:color="000000"/>
        <w:insideH w:val="single" w:sz="4" w:space="0" w:color="000000"/>
        <w:insideV w:val="single" w:sz="4" w:space="0" w:color="000000"/>
      </w:tblBorders>
    </w:tblPr>
  </w:style>
  <w:style w:type="paragraph" w:customStyle="1" w:styleId="FooterTextOdd">
    <w:name w:val="Footer Text Odd"/>
    <w:basedOn w:val="Normal"/>
    <w:uiPriority w:val="21"/>
    <w:qFormat/>
    <w:rsid w:val="00A05903"/>
    <w:pPr>
      <w:pBdr>
        <w:top w:val="single" w:sz="4" w:space="1" w:color="DD7433"/>
      </w:pBdr>
      <w:spacing w:after="0"/>
      <w:jc w:val="right"/>
    </w:pPr>
    <w:rPr>
      <w:color w:val="000000"/>
      <w:sz w:val="18"/>
    </w:rPr>
  </w:style>
  <w:style w:type="character" w:customStyle="1" w:styleId="Heading4Char">
    <w:name w:val="Heading 4 Char"/>
    <w:basedOn w:val="DefaultParagraphFont"/>
    <w:link w:val="Heading4"/>
    <w:rsid w:val="0082235C"/>
    <w:rPr>
      <w:rFonts w:eastAsiaTheme="majorEastAsia" w:cstheme="majorBidi"/>
      <w:b/>
      <w:i/>
      <w:iCs/>
      <w:color w:val="000000"/>
      <w:sz w:val="22"/>
      <w:szCs w:val="26"/>
    </w:rPr>
  </w:style>
  <w:style w:type="paragraph" w:styleId="BodyText">
    <w:name w:val="Body Text"/>
    <w:basedOn w:val="Normal"/>
    <w:link w:val="BodyTextChar"/>
    <w:uiPriority w:val="2"/>
    <w:qFormat/>
    <w:rsid w:val="00A05903"/>
    <w:pPr>
      <w:spacing w:before="120" w:after="0" w:line="240" w:lineRule="auto"/>
    </w:pPr>
    <w:rPr>
      <w:sz w:val="22"/>
    </w:rPr>
  </w:style>
  <w:style w:type="character" w:customStyle="1" w:styleId="BodyTextChar">
    <w:name w:val="Body Text Char"/>
    <w:basedOn w:val="DefaultParagraphFont"/>
    <w:link w:val="BodyText"/>
    <w:uiPriority w:val="2"/>
    <w:rsid w:val="003901FD"/>
    <w:rPr>
      <w:rFonts w:ascii="Calibri" w:hAnsi="Calibri" w:cs="Times New Roman"/>
      <w:sz w:val="22"/>
    </w:rPr>
  </w:style>
  <w:style w:type="numbering" w:customStyle="1" w:styleId="Headings">
    <w:name w:val="Headings"/>
    <w:uiPriority w:val="99"/>
    <w:rsid w:val="00A05903"/>
    <w:pPr>
      <w:numPr>
        <w:numId w:val="7"/>
      </w:numPr>
    </w:pPr>
  </w:style>
  <w:style w:type="paragraph" w:customStyle="1" w:styleId="Pictures">
    <w:name w:val="Pictures"/>
    <w:link w:val="PicturesChar"/>
    <w:uiPriority w:val="5"/>
    <w:rsid w:val="00A05903"/>
    <w:pPr>
      <w:framePr w:wrap="around" w:vAnchor="page" w:hAnchor="page" w:xAlign="center" w:y="9640"/>
    </w:pPr>
    <w:rPr>
      <w:rFonts w:ascii="Calibri" w:eastAsia="Times New Roman" w:hAnsi="Calibri" w:cs="Times New Roman"/>
      <w:b/>
      <w:bCs/>
      <w:noProof/>
      <w:color w:val="000000"/>
      <w:lang w:eastAsia="en-AU"/>
    </w:rPr>
  </w:style>
  <w:style w:type="paragraph" w:customStyle="1" w:styleId="CoverPageHeading">
    <w:name w:val="Cover Page Heading"/>
    <w:uiPriority w:val="7"/>
    <w:qFormat/>
    <w:rsid w:val="00A05903"/>
    <w:pPr>
      <w:spacing w:line="216" w:lineRule="auto"/>
      <w:jc w:val="right"/>
    </w:pPr>
    <w:rPr>
      <w:rFonts w:ascii="Calibri" w:hAnsi="Calibri" w:cs="Times New Roman"/>
      <w:color w:val="DD7433"/>
      <w:sz w:val="80"/>
      <w:lang w:val="en-US"/>
    </w:rPr>
  </w:style>
  <w:style w:type="character" w:customStyle="1" w:styleId="BodyTextIndent1Char">
    <w:name w:val="Body Text Indent 1 Char"/>
    <w:basedOn w:val="BodyTextChar"/>
    <w:link w:val="BodyTextIndent1"/>
    <w:uiPriority w:val="3"/>
    <w:rsid w:val="00C63857"/>
    <w:rPr>
      <w:rFonts w:ascii="Calibri" w:hAnsi="Calibri" w:cs="Times New Roman"/>
      <w:sz w:val="22"/>
    </w:rPr>
  </w:style>
  <w:style w:type="paragraph" w:customStyle="1" w:styleId="CoverPageSubheading">
    <w:name w:val="Cover Page Subheading"/>
    <w:uiPriority w:val="7"/>
    <w:qFormat/>
    <w:rsid w:val="00A05903"/>
    <w:pPr>
      <w:spacing w:after="240" w:line="216" w:lineRule="auto"/>
      <w:jc w:val="right"/>
    </w:pPr>
    <w:rPr>
      <w:rFonts w:ascii="Calibri" w:hAnsi="Calibri" w:cs="Times New Roman"/>
      <w:color w:val="595959" w:themeColor="text1" w:themeTint="A6"/>
      <w:sz w:val="56"/>
      <w:szCs w:val="40"/>
      <w:lang w:val="en-US"/>
    </w:rPr>
  </w:style>
  <w:style w:type="paragraph" w:customStyle="1" w:styleId="HeaderText">
    <w:name w:val="Header Text"/>
    <w:basedOn w:val="Normal"/>
    <w:uiPriority w:val="21"/>
    <w:qFormat/>
    <w:rsid w:val="00A05903"/>
    <w:pPr>
      <w:spacing w:before="120" w:after="0"/>
      <w:jc w:val="right"/>
    </w:pPr>
    <w:rPr>
      <w:b/>
      <w:color w:val="7F7F7F" w:themeColor="text1" w:themeTint="80"/>
    </w:rPr>
  </w:style>
  <w:style w:type="paragraph" w:styleId="Footer">
    <w:name w:val="footer"/>
    <w:basedOn w:val="Normal"/>
    <w:link w:val="FooterChar"/>
    <w:uiPriority w:val="99"/>
    <w:unhideWhenUsed/>
    <w:rsid w:val="00A05903"/>
    <w:pPr>
      <w:tabs>
        <w:tab w:val="center" w:pos="4320"/>
        <w:tab w:val="right" w:pos="8640"/>
      </w:tabs>
    </w:pPr>
  </w:style>
  <w:style w:type="character" w:customStyle="1" w:styleId="FooterChar">
    <w:name w:val="Footer Char"/>
    <w:basedOn w:val="DefaultParagraphFont"/>
    <w:link w:val="Footer"/>
    <w:uiPriority w:val="99"/>
    <w:rsid w:val="000F3597"/>
    <w:rPr>
      <w:rFonts w:ascii="Calibri" w:hAnsi="Calibri" w:cs="Times New Roman"/>
      <w:sz w:val="20"/>
    </w:rPr>
  </w:style>
  <w:style w:type="paragraph" w:styleId="Header">
    <w:name w:val="header"/>
    <w:basedOn w:val="Normal"/>
    <w:link w:val="HeaderChar"/>
    <w:uiPriority w:val="99"/>
    <w:unhideWhenUsed/>
    <w:rsid w:val="00A05903"/>
    <w:pPr>
      <w:tabs>
        <w:tab w:val="center" w:pos="4320"/>
        <w:tab w:val="right" w:pos="8640"/>
      </w:tabs>
    </w:pPr>
  </w:style>
  <w:style w:type="character" w:customStyle="1" w:styleId="HeaderChar">
    <w:name w:val="Header Char"/>
    <w:basedOn w:val="DefaultParagraphFont"/>
    <w:link w:val="Header"/>
    <w:uiPriority w:val="99"/>
    <w:rsid w:val="000F3597"/>
    <w:rPr>
      <w:rFonts w:ascii="Calibri" w:hAnsi="Calibri" w:cs="Times New Roman"/>
      <w:sz w:val="20"/>
    </w:rPr>
  </w:style>
  <w:style w:type="paragraph" w:customStyle="1" w:styleId="CoverPageDate">
    <w:name w:val="Cover Page Date"/>
    <w:uiPriority w:val="7"/>
    <w:qFormat/>
    <w:rsid w:val="00A05903"/>
    <w:pPr>
      <w:spacing w:line="216" w:lineRule="auto"/>
      <w:jc w:val="right"/>
    </w:pPr>
    <w:rPr>
      <w:rFonts w:ascii="Calibri" w:hAnsi="Calibri" w:cs="Times New Roman"/>
      <w:color w:val="595959" w:themeColor="text1" w:themeTint="A6"/>
      <w:sz w:val="36"/>
      <w:szCs w:val="28"/>
      <w:lang w:val="en-US"/>
    </w:rPr>
  </w:style>
  <w:style w:type="paragraph" w:customStyle="1" w:styleId="Photo">
    <w:name w:val="Photo"/>
    <w:basedOn w:val="Normal"/>
    <w:link w:val="PhotoChar"/>
    <w:uiPriority w:val="5"/>
    <w:rsid w:val="00A05903"/>
    <w:pPr>
      <w:keepNext/>
      <w:keepLines/>
      <w:spacing w:after="0" w:line="240" w:lineRule="auto"/>
      <w:outlineLvl w:val="1"/>
    </w:pPr>
    <w:rPr>
      <w:rFonts w:eastAsia="Times New Roman"/>
      <w:b/>
      <w:bCs/>
      <w:noProof/>
      <w:color w:val="000000"/>
      <w:sz w:val="24"/>
      <w:szCs w:val="26"/>
      <w:lang w:eastAsia="en-AU"/>
    </w:rPr>
  </w:style>
  <w:style w:type="table" w:customStyle="1" w:styleId="ColorfulGrid1">
    <w:name w:val="Colorful Grid1"/>
    <w:basedOn w:val="TableNormal"/>
    <w:rsid w:val="00A05903"/>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paragraph" w:customStyle="1" w:styleId="Rule">
    <w:name w:val="Rule"/>
    <w:next w:val="Normal"/>
    <w:link w:val="RuleChar"/>
    <w:uiPriority w:val="5"/>
    <w:qFormat/>
    <w:rsid w:val="00A05903"/>
    <w:pPr>
      <w:pBdr>
        <w:bottom w:val="single" w:sz="4" w:space="0" w:color="000000"/>
      </w:pBdr>
      <w:tabs>
        <w:tab w:val="left" w:pos="3594"/>
      </w:tabs>
      <w:spacing w:line="160" w:lineRule="exact"/>
    </w:pPr>
    <w:rPr>
      <w:rFonts w:ascii="Calibri" w:hAnsi="Calibri" w:cs="Times New Roman"/>
      <w:sz w:val="20"/>
    </w:rPr>
  </w:style>
  <w:style w:type="table" w:customStyle="1" w:styleId="Table1">
    <w:name w:val="Table 1"/>
    <w:basedOn w:val="TableNormal"/>
    <w:uiPriority w:val="99"/>
    <w:rsid w:val="00A05903"/>
    <w:pPr>
      <w:widowControl w:val="0"/>
      <w:spacing w:after="360"/>
      <w:ind w:left="108" w:right="108"/>
      <w:contextualSpacing/>
    </w:pPr>
    <w:rPr>
      <w:sz w:val="22"/>
    </w:rPr>
    <w:tblPr>
      <w:tblStyleRowBandSize w:val="1"/>
      <w:tblBorders>
        <w:top w:val="single" w:sz="4" w:space="0" w:color="DD7433"/>
        <w:left w:val="single" w:sz="4" w:space="0" w:color="DD7433"/>
        <w:bottom w:val="single" w:sz="4" w:space="0" w:color="DD7433"/>
        <w:right w:val="single" w:sz="4" w:space="0" w:color="DD7433"/>
        <w:insideH w:val="single" w:sz="6" w:space="0" w:color="DD7433"/>
        <w:insideV w:val="single" w:sz="6" w:space="0" w:color="DD7433"/>
      </w:tblBorders>
      <w:tblCellMar>
        <w:left w:w="0" w:type="dxa"/>
        <w:right w:w="0" w:type="dxa"/>
      </w:tblCellMar>
    </w:tblPr>
    <w:trPr>
      <w:cantSplit/>
    </w:trPr>
    <w:tcPr>
      <w:shd w:val="clear" w:color="auto" w:fill="auto"/>
      <w:vAlign w:val="center"/>
    </w:tcPr>
    <w:tblStylePr w:type="firstRow">
      <w:rPr>
        <w:rFonts w:ascii="Calibri" w:hAnsi="Calibri"/>
        <w:b/>
        <w:color w:val="FFFFFF" w:themeColor="background1"/>
        <w:sz w:val="20"/>
      </w:rPr>
      <w:tblPr/>
      <w:trPr>
        <w:cantSplit w:val="0"/>
        <w:tblHeader/>
      </w:trPr>
      <w:tcPr>
        <w:shd w:val="clear" w:color="auto" w:fill="DD7433"/>
      </w:tcPr>
    </w:tblStylePr>
  </w:style>
  <w:style w:type="paragraph" w:styleId="TOCHeading">
    <w:name w:val="TOC Heading"/>
    <w:basedOn w:val="Heading1"/>
    <w:next w:val="Normal"/>
    <w:uiPriority w:val="39"/>
    <w:unhideWhenUsed/>
    <w:qFormat/>
    <w:rsid w:val="00A05903"/>
    <w:pPr>
      <w:numPr>
        <w:numId w:val="0"/>
      </w:numPr>
      <w:spacing w:before="240" w:line="276" w:lineRule="auto"/>
      <w:contextualSpacing w:val="0"/>
      <w:outlineLvl w:val="9"/>
    </w:pPr>
    <w:rPr>
      <w:rFonts w:asciiTheme="minorHAnsi" w:eastAsiaTheme="majorEastAsia" w:hAnsiTheme="minorHAnsi" w:cstheme="majorBidi"/>
      <w:color w:val="595959" w:themeColor="text1" w:themeTint="A6"/>
      <w:szCs w:val="28"/>
      <w:lang w:val="en-US"/>
    </w:rPr>
  </w:style>
  <w:style w:type="paragraph" w:styleId="TOC1">
    <w:name w:val="toc 1"/>
    <w:basedOn w:val="BodyText"/>
    <w:next w:val="Normal"/>
    <w:uiPriority w:val="39"/>
    <w:qFormat/>
    <w:rsid w:val="00A05903"/>
    <w:pPr>
      <w:tabs>
        <w:tab w:val="left" w:pos="400"/>
        <w:tab w:val="right" w:leader="dot" w:pos="9072"/>
      </w:tabs>
    </w:pPr>
    <w:rPr>
      <w:b/>
      <w:caps/>
    </w:rPr>
  </w:style>
  <w:style w:type="paragraph" w:styleId="TOC2">
    <w:name w:val="toc 2"/>
    <w:basedOn w:val="TOC1"/>
    <w:next w:val="Normal"/>
    <w:autoRedefine/>
    <w:uiPriority w:val="39"/>
    <w:qFormat/>
    <w:rsid w:val="00A05903"/>
    <w:pPr>
      <w:tabs>
        <w:tab w:val="clear" w:pos="400"/>
        <w:tab w:val="left" w:pos="1247"/>
      </w:tabs>
      <w:ind w:left="403"/>
      <w:contextualSpacing/>
    </w:pPr>
    <w:rPr>
      <w:b w:val="0"/>
      <w:caps w:val="0"/>
    </w:rPr>
  </w:style>
  <w:style w:type="paragraph" w:styleId="TOC3">
    <w:name w:val="toc 3"/>
    <w:basedOn w:val="TOC2"/>
    <w:next w:val="Normal"/>
    <w:autoRedefine/>
    <w:uiPriority w:val="39"/>
    <w:qFormat/>
    <w:rsid w:val="00A05903"/>
    <w:pPr>
      <w:tabs>
        <w:tab w:val="clear" w:pos="1247"/>
        <w:tab w:val="left" w:pos="1701"/>
        <w:tab w:val="left" w:pos="1988"/>
      </w:tabs>
      <w:ind w:left="851"/>
    </w:pPr>
    <w:rPr>
      <w:noProof/>
    </w:rPr>
  </w:style>
  <w:style w:type="character" w:styleId="Hyperlink">
    <w:name w:val="Hyperlink"/>
    <w:basedOn w:val="DefaultParagraphFont"/>
    <w:uiPriority w:val="99"/>
    <w:unhideWhenUsed/>
    <w:rsid w:val="00A05903"/>
    <w:rPr>
      <w:color w:val="548DD4" w:themeColor="hyperlink"/>
      <w:u w:val="single"/>
    </w:rPr>
  </w:style>
  <w:style w:type="paragraph" w:styleId="Index9">
    <w:name w:val="index 9"/>
    <w:basedOn w:val="Heading2"/>
    <w:next w:val="Normal"/>
    <w:autoRedefine/>
    <w:uiPriority w:val="99"/>
    <w:rsid w:val="00A05903"/>
    <w:pPr>
      <w:numPr>
        <w:ilvl w:val="0"/>
        <w:numId w:val="0"/>
      </w:numPr>
    </w:pPr>
  </w:style>
  <w:style w:type="paragraph" w:styleId="TOC4">
    <w:name w:val="toc 4"/>
    <w:basedOn w:val="TOC3"/>
    <w:next w:val="Normal"/>
    <w:autoRedefine/>
    <w:uiPriority w:val="39"/>
    <w:rsid w:val="00A05903"/>
    <w:pPr>
      <w:ind w:left="601"/>
    </w:pPr>
  </w:style>
  <w:style w:type="paragraph" w:styleId="Caption">
    <w:name w:val="caption"/>
    <w:next w:val="BodyText"/>
    <w:link w:val="CaptionChar"/>
    <w:uiPriority w:val="5"/>
    <w:qFormat/>
    <w:rsid w:val="00806F5D"/>
    <w:pPr>
      <w:spacing w:before="120" w:after="60"/>
    </w:pPr>
    <w:rPr>
      <w:rFonts w:ascii="Calibri" w:hAnsi="Calibri" w:cs="Times New Roman"/>
      <w:bCs/>
      <w:i/>
      <w:color w:val="404040" w:themeColor="text1" w:themeTint="BF"/>
      <w:sz w:val="22"/>
      <w:szCs w:val="18"/>
    </w:rPr>
  </w:style>
  <w:style w:type="paragraph" w:styleId="ListNumber2">
    <w:name w:val="List Number 2"/>
    <w:basedOn w:val="ListNumber"/>
    <w:link w:val="ListNumber2Char"/>
    <w:uiPriority w:val="3"/>
    <w:rsid w:val="00691616"/>
    <w:pPr>
      <w:numPr>
        <w:ilvl w:val="1"/>
      </w:numPr>
      <w:ind w:left="1134"/>
    </w:pPr>
  </w:style>
  <w:style w:type="paragraph" w:styleId="ListNumber">
    <w:name w:val="List Number"/>
    <w:basedOn w:val="BodyText"/>
    <w:link w:val="ListNumberChar"/>
    <w:uiPriority w:val="3"/>
    <w:rsid w:val="00A05903"/>
    <w:pPr>
      <w:numPr>
        <w:numId w:val="9"/>
      </w:numPr>
      <w:spacing w:before="60"/>
      <w:contextualSpacing/>
    </w:pPr>
  </w:style>
  <w:style w:type="paragraph" w:styleId="ListNumber3">
    <w:name w:val="List Number 3"/>
    <w:basedOn w:val="ListNumber"/>
    <w:link w:val="ListNumber3Char"/>
    <w:uiPriority w:val="3"/>
    <w:rsid w:val="00691616"/>
    <w:pPr>
      <w:numPr>
        <w:ilvl w:val="2"/>
      </w:numPr>
      <w:ind w:left="1560"/>
    </w:pPr>
  </w:style>
  <w:style w:type="paragraph" w:customStyle="1" w:styleId="Heading1-NoNumber">
    <w:name w:val="Heading 1 - No Number"/>
    <w:basedOn w:val="Heading1"/>
    <w:next w:val="BodyText"/>
    <w:link w:val="Heading1-NoNumberChar"/>
    <w:uiPriority w:val="1"/>
    <w:rsid w:val="00A05903"/>
    <w:pPr>
      <w:numPr>
        <w:numId w:val="0"/>
      </w:numPr>
    </w:pPr>
  </w:style>
  <w:style w:type="paragraph" w:styleId="TableofFigures">
    <w:name w:val="table of figures"/>
    <w:basedOn w:val="TOC1"/>
    <w:next w:val="Normal"/>
    <w:uiPriority w:val="99"/>
    <w:rsid w:val="00A05903"/>
    <w:pPr>
      <w:contextualSpacing/>
    </w:pPr>
    <w:rPr>
      <w:b w:val="0"/>
      <w:caps w:val="0"/>
    </w:rPr>
  </w:style>
  <w:style w:type="paragraph" w:styleId="BodyText2">
    <w:name w:val="Body Text 2"/>
    <w:basedOn w:val="BodyText"/>
    <w:link w:val="BodyText2Char"/>
    <w:uiPriority w:val="8"/>
    <w:rsid w:val="00A05903"/>
    <w:rPr>
      <w:sz w:val="20"/>
    </w:rPr>
  </w:style>
  <w:style w:type="character" w:customStyle="1" w:styleId="BodyText2Char">
    <w:name w:val="Body Text 2 Char"/>
    <w:basedOn w:val="DefaultParagraphFont"/>
    <w:link w:val="BodyText2"/>
    <w:uiPriority w:val="8"/>
    <w:rsid w:val="00066AAF"/>
    <w:rPr>
      <w:rFonts w:ascii="Calibri" w:hAnsi="Calibri" w:cs="Times New Roman"/>
      <w:sz w:val="20"/>
    </w:rPr>
  </w:style>
  <w:style w:type="paragraph" w:styleId="BodyText3">
    <w:name w:val="Body Text 3"/>
    <w:basedOn w:val="Normal"/>
    <w:link w:val="BodyText3Char"/>
    <w:uiPriority w:val="8"/>
    <w:rsid w:val="00A05903"/>
    <w:pPr>
      <w:spacing w:after="120"/>
    </w:pPr>
    <w:rPr>
      <w:sz w:val="18"/>
      <w:szCs w:val="16"/>
    </w:rPr>
  </w:style>
  <w:style w:type="character" w:customStyle="1" w:styleId="BodyText3Char">
    <w:name w:val="Body Text 3 Char"/>
    <w:basedOn w:val="DefaultParagraphFont"/>
    <w:link w:val="BodyText3"/>
    <w:uiPriority w:val="8"/>
    <w:rsid w:val="00066AAF"/>
    <w:rPr>
      <w:rFonts w:ascii="Calibri" w:hAnsi="Calibri" w:cs="Times New Roman"/>
      <w:sz w:val="18"/>
      <w:szCs w:val="16"/>
    </w:rPr>
  </w:style>
  <w:style w:type="paragraph" w:customStyle="1" w:styleId="HeaderTextEven">
    <w:name w:val="Header Text Even"/>
    <w:basedOn w:val="HeaderText"/>
    <w:uiPriority w:val="21"/>
    <w:rsid w:val="00A05903"/>
    <w:pPr>
      <w:jc w:val="left"/>
    </w:pPr>
  </w:style>
  <w:style w:type="paragraph" w:customStyle="1" w:styleId="FooterTextEven">
    <w:name w:val="Footer Text Even"/>
    <w:basedOn w:val="FooterTextOdd"/>
    <w:uiPriority w:val="21"/>
    <w:qFormat/>
    <w:rsid w:val="00A05903"/>
    <w:pPr>
      <w:jc w:val="left"/>
    </w:pPr>
  </w:style>
  <w:style w:type="paragraph" w:customStyle="1" w:styleId="Heading2-NoNumber">
    <w:name w:val="Heading 2 - No Number"/>
    <w:basedOn w:val="Heading2"/>
    <w:next w:val="BodyText"/>
    <w:link w:val="Heading2-NoNumberChar"/>
    <w:uiPriority w:val="1"/>
    <w:rsid w:val="00A05903"/>
    <w:pPr>
      <w:numPr>
        <w:ilvl w:val="0"/>
        <w:numId w:val="0"/>
      </w:numPr>
    </w:pPr>
  </w:style>
  <w:style w:type="paragraph" w:styleId="TOC5">
    <w:name w:val="toc 5"/>
    <w:basedOn w:val="Normal"/>
    <w:next w:val="Normal"/>
    <w:autoRedefine/>
    <w:uiPriority w:val="39"/>
    <w:rsid w:val="00A05903"/>
    <w:pPr>
      <w:spacing w:after="100"/>
      <w:ind w:left="800"/>
    </w:pPr>
  </w:style>
  <w:style w:type="paragraph" w:styleId="BalloonText">
    <w:name w:val="Balloon Text"/>
    <w:basedOn w:val="Normal"/>
    <w:link w:val="BalloonTextChar"/>
    <w:uiPriority w:val="99"/>
    <w:semiHidden/>
    <w:unhideWhenUsed/>
    <w:rsid w:val="00A0590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F3597"/>
    <w:rPr>
      <w:rFonts w:ascii="Tahoma" w:hAnsi="Tahoma" w:cs="Tahoma"/>
      <w:sz w:val="16"/>
      <w:szCs w:val="16"/>
    </w:rPr>
  </w:style>
  <w:style w:type="paragraph" w:styleId="BodyTextIndent">
    <w:name w:val="Body Text Indent"/>
    <w:basedOn w:val="Normal"/>
    <w:link w:val="BodyTextIndentChar"/>
    <w:uiPriority w:val="99"/>
    <w:rsid w:val="00A05903"/>
    <w:pPr>
      <w:spacing w:after="120"/>
      <w:ind w:left="283"/>
    </w:pPr>
  </w:style>
  <w:style w:type="character" w:customStyle="1" w:styleId="BodyTextIndentChar">
    <w:name w:val="Body Text Indent Char"/>
    <w:basedOn w:val="DefaultParagraphFont"/>
    <w:link w:val="BodyTextIndent"/>
    <w:uiPriority w:val="99"/>
    <w:rsid w:val="000F3597"/>
    <w:rPr>
      <w:rFonts w:ascii="Calibri" w:hAnsi="Calibri" w:cs="Times New Roman"/>
      <w:sz w:val="20"/>
    </w:rPr>
  </w:style>
  <w:style w:type="paragraph" w:customStyle="1" w:styleId="BodyTextIndent1">
    <w:name w:val="Body Text Indent 1"/>
    <w:link w:val="BodyTextIndent1Char"/>
    <w:uiPriority w:val="3"/>
    <w:rsid w:val="00A05903"/>
    <w:pPr>
      <w:spacing w:before="120"/>
      <w:ind w:left="567"/>
    </w:pPr>
    <w:rPr>
      <w:rFonts w:ascii="Calibri" w:hAnsi="Calibri" w:cs="Times New Roman"/>
      <w:sz w:val="22"/>
    </w:rPr>
  </w:style>
  <w:style w:type="paragraph" w:styleId="BodyTextIndent2">
    <w:name w:val="Body Text Indent 2"/>
    <w:link w:val="BodyTextIndent2Char"/>
    <w:uiPriority w:val="3"/>
    <w:rsid w:val="00A05903"/>
    <w:pPr>
      <w:spacing w:before="120"/>
      <w:ind w:left="1134"/>
    </w:pPr>
    <w:rPr>
      <w:rFonts w:ascii="Calibri" w:hAnsi="Calibri" w:cs="Times New Roman"/>
      <w:sz w:val="22"/>
    </w:rPr>
  </w:style>
  <w:style w:type="character" w:customStyle="1" w:styleId="BodyTextIndent2Char">
    <w:name w:val="Body Text Indent 2 Char"/>
    <w:basedOn w:val="DefaultParagraphFont"/>
    <w:link w:val="BodyTextIndent2"/>
    <w:uiPriority w:val="3"/>
    <w:rsid w:val="00C63857"/>
    <w:rPr>
      <w:rFonts w:ascii="Calibri" w:hAnsi="Calibri" w:cs="Times New Roman"/>
      <w:sz w:val="22"/>
    </w:rPr>
  </w:style>
  <w:style w:type="paragraph" w:styleId="BodyTextIndent3">
    <w:name w:val="Body Text Indent 3"/>
    <w:link w:val="BodyTextIndent3Char"/>
    <w:uiPriority w:val="3"/>
    <w:rsid w:val="00A05903"/>
    <w:pPr>
      <w:spacing w:before="120"/>
      <w:ind w:left="1701"/>
    </w:pPr>
    <w:rPr>
      <w:rFonts w:ascii="Calibri" w:hAnsi="Calibri" w:cs="Times New Roman"/>
      <w:sz w:val="22"/>
      <w:szCs w:val="16"/>
    </w:rPr>
  </w:style>
  <w:style w:type="character" w:customStyle="1" w:styleId="BodyTextIndent3Char">
    <w:name w:val="Body Text Indent 3 Char"/>
    <w:basedOn w:val="DefaultParagraphFont"/>
    <w:link w:val="BodyTextIndent3"/>
    <w:uiPriority w:val="3"/>
    <w:rsid w:val="00C63857"/>
    <w:rPr>
      <w:rFonts w:ascii="Calibri" w:hAnsi="Calibri" w:cs="Times New Roman"/>
      <w:sz w:val="22"/>
      <w:szCs w:val="16"/>
    </w:rPr>
  </w:style>
  <w:style w:type="paragraph" w:customStyle="1" w:styleId="TableHeader">
    <w:name w:val="Table Header"/>
    <w:link w:val="TableHeaderChar"/>
    <w:uiPriority w:val="99"/>
    <w:qFormat/>
    <w:rsid w:val="00261470"/>
    <w:pPr>
      <w:spacing w:before="50" w:after="50"/>
      <w:ind w:left="85" w:right="85"/>
    </w:pPr>
    <w:rPr>
      <w:rFonts w:ascii="Calibri" w:hAnsi="Calibri" w:cs="Times New Roman"/>
      <w:b/>
      <w:color w:val="E36C0A" w:themeColor="accent6"/>
      <w:lang w:eastAsia="en-AU"/>
    </w:rPr>
  </w:style>
  <w:style w:type="paragraph" w:customStyle="1" w:styleId="TableBody">
    <w:name w:val="Table Body"/>
    <w:link w:val="TableBodyChar"/>
    <w:uiPriority w:val="99"/>
    <w:qFormat/>
    <w:rsid w:val="00725CC5"/>
    <w:pPr>
      <w:spacing w:before="50" w:after="50"/>
      <w:ind w:left="85" w:right="85"/>
    </w:pPr>
    <w:rPr>
      <w:rFonts w:ascii="Calibri" w:hAnsi="Calibri" w:cs="Times New Roman"/>
      <w:sz w:val="20"/>
      <w:szCs w:val="20"/>
      <w:lang w:eastAsia="en-AU"/>
    </w:rPr>
  </w:style>
  <w:style w:type="numbering" w:customStyle="1" w:styleId="ListBullets">
    <w:name w:val="ListBullets"/>
    <w:uiPriority w:val="99"/>
    <w:rsid w:val="00A05903"/>
    <w:pPr>
      <w:numPr>
        <w:numId w:val="8"/>
      </w:numPr>
    </w:pPr>
  </w:style>
  <w:style w:type="numbering" w:customStyle="1" w:styleId="ListNumbers">
    <w:name w:val="ListNumbers"/>
    <w:uiPriority w:val="99"/>
    <w:rsid w:val="00A05903"/>
    <w:pPr>
      <w:numPr>
        <w:numId w:val="9"/>
      </w:numPr>
    </w:pPr>
  </w:style>
  <w:style w:type="paragraph" w:styleId="ListBullet">
    <w:name w:val="List Bullet"/>
    <w:link w:val="ListBulletChar"/>
    <w:uiPriority w:val="3"/>
    <w:qFormat/>
    <w:rsid w:val="00AF0095"/>
    <w:pPr>
      <w:numPr>
        <w:numId w:val="8"/>
      </w:numPr>
      <w:spacing w:before="60"/>
      <w:ind w:left="425" w:hanging="425"/>
    </w:pPr>
    <w:rPr>
      <w:rFonts w:ascii="Calibri" w:hAnsi="Calibri" w:cs="Times New Roman"/>
      <w:sz w:val="22"/>
    </w:rPr>
  </w:style>
  <w:style w:type="paragraph" w:styleId="ListBullet2">
    <w:name w:val="List Bullet 2"/>
    <w:basedOn w:val="ListBullet"/>
    <w:link w:val="ListBullet2Char"/>
    <w:uiPriority w:val="3"/>
    <w:qFormat/>
    <w:rsid w:val="00874458"/>
    <w:pPr>
      <w:numPr>
        <w:ilvl w:val="1"/>
        <w:numId w:val="17"/>
      </w:numPr>
      <w:spacing w:after="60"/>
      <w:ind w:left="851" w:hanging="425"/>
    </w:pPr>
  </w:style>
  <w:style w:type="paragraph" w:styleId="ListBullet3">
    <w:name w:val="List Bullet 3"/>
    <w:basedOn w:val="ListBullet"/>
    <w:link w:val="ListBullet3Char"/>
    <w:uiPriority w:val="3"/>
    <w:rsid w:val="00691616"/>
    <w:pPr>
      <w:numPr>
        <w:ilvl w:val="2"/>
      </w:numPr>
      <w:ind w:left="1276"/>
      <w:contextualSpacing/>
    </w:pPr>
  </w:style>
  <w:style w:type="paragraph" w:styleId="ListBullet4">
    <w:name w:val="List Bullet 4"/>
    <w:basedOn w:val="ListBullet"/>
    <w:link w:val="ListBullet4Char"/>
    <w:uiPriority w:val="3"/>
    <w:rsid w:val="00691616"/>
    <w:pPr>
      <w:numPr>
        <w:ilvl w:val="3"/>
      </w:numPr>
      <w:ind w:left="1560" w:hanging="284"/>
      <w:contextualSpacing/>
    </w:pPr>
  </w:style>
  <w:style w:type="paragraph" w:styleId="ListBullet5">
    <w:name w:val="List Bullet 5"/>
    <w:basedOn w:val="ListBullet"/>
    <w:link w:val="ListBullet5Char"/>
    <w:uiPriority w:val="3"/>
    <w:rsid w:val="00691616"/>
    <w:pPr>
      <w:numPr>
        <w:ilvl w:val="4"/>
      </w:numPr>
      <w:ind w:left="1985"/>
      <w:contextualSpacing/>
    </w:pPr>
  </w:style>
  <w:style w:type="character" w:styleId="PlaceholderText">
    <w:name w:val="Placeholder Text"/>
    <w:basedOn w:val="DefaultParagraphFont"/>
    <w:uiPriority w:val="99"/>
    <w:rsid w:val="00A05903"/>
    <w:rPr>
      <w:color w:val="808080"/>
    </w:rPr>
  </w:style>
  <w:style w:type="paragraph" w:styleId="ListNumber4">
    <w:name w:val="List Number 4"/>
    <w:basedOn w:val="ListNumber"/>
    <w:link w:val="ListNumber4Char"/>
    <w:uiPriority w:val="3"/>
    <w:rsid w:val="00691616"/>
    <w:pPr>
      <w:numPr>
        <w:ilvl w:val="3"/>
      </w:numPr>
      <w:ind w:left="1985"/>
    </w:pPr>
  </w:style>
  <w:style w:type="paragraph" w:styleId="ListNumber5">
    <w:name w:val="List Number 5"/>
    <w:basedOn w:val="ListNumber"/>
    <w:link w:val="ListNumber5Char"/>
    <w:uiPriority w:val="3"/>
    <w:rsid w:val="00691616"/>
    <w:pPr>
      <w:numPr>
        <w:ilvl w:val="4"/>
      </w:numPr>
      <w:ind w:left="2410"/>
    </w:pPr>
  </w:style>
  <w:style w:type="paragraph" w:customStyle="1" w:styleId="Heading1-NoTOC">
    <w:name w:val="Heading 1 - No TOC"/>
    <w:uiPriority w:val="99"/>
    <w:qFormat/>
    <w:rsid w:val="00A05903"/>
    <w:pPr>
      <w:pageBreakBefore/>
      <w:pBdr>
        <w:bottom w:val="single" w:sz="4" w:space="1" w:color="E36C0A" w:themeColor="accent1"/>
      </w:pBdr>
      <w:spacing w:after="240"/>
    </w:pPr>
    <w:rPr>
      <w:rFonts w:ascii="Calibri" w:eastAsia="Times New Roman" w:hAnsi="Calibri" w:cs="Times New Roman"/>
      <w:b/>
      <w:bCs/>
      <w:caps/>
      <w:color w:val="DD7433"/>
      <w:sz w:val="36"/>
      <w:szCs w:val="32"/>
    </w:rPr>
  </w:style>
  <w:style w:type="paragraph" w:customStyle="1" w:styleId="Heading-Appendix">
    <w:name w:val="Heading - Appendix"/>
    <w:basedOn w:val="Heading1"/>
    <w:next w:val="BodyText"/>
    <w:link w:val="Heading-AppendixChar"/>
    <w:uiPriority w:val="1"/>
    <w:qFormat/>
    <w:rsid w:val="00C232F8"/>
    <w:pPr>
      <w:numPr>
        <w:numId w:val="4"/>
      </w:numPr>
      <w:ind w:left="68" w:firstLine="0"/>
    </w:pPr>
  </w:style>
  <w:style w:type="paragraph" w:customStyle="1" w:styleId="Heading1-TechSpecs">
    <w:name w:val="Heading 1 - Tech Specs"/>
    <w:next w:val="Heading2-TechSpecs"/>
    <w:link w:val="Heading1-TechSpecsChar"/>
    <w:uiPriority w:val="6"/>
    <w:qFormat/>
    <w:rsid w:val="00A05903"/>
    <w:pPr>
      <w:numPr>
        <w:numId w:val="10"/>
      </w:numPr>
      <w:pBdr>
        <w:bottom w:val="single" w:sz="4" w:space="1" w:color="E36C0A" w:themeColor="accent1"/>
      </w:pBdr>
      <w:tabs>
        <w:tab w:val="left" w:pos="1701"/>
        <w:tab w:val="left" w:pos="1985"/>
      </w:tabs>
      <w:outlineLvl w:val="0"/>
    </w:pPr>
    <w:rPr>
      <w:rFonts w:ascii="Calibri" w:eastAsia="Times New Roman" w:hAnsi="Calibri" w:cs="Times New Roman"/>
      <w:b/>
      <w:bCs/>
      <w:caps/>
      <w:color w:val="DD7433"/>
      <w:sz w:val="28"/>
      <w:szCs w:val="32"/>
    </w:rPr>
  </w:style>
  <w:style w:type="numbering" w:customStyle="1" w:styleId="TechSpecsList">
    <w:name w:val="Tech Specs List"/>
    <w:uiPriority w:val="99"/>
    <w:rsid w:val="00A05903"/>
    <w:pPr>
      <w:numPr>
        <w:numId w:val="1"/>
      </w:numPr>
    </w:pPr>
  </w:style>
  <w:style w:type="paragraph" w:customStyle="1" w:styleId="Heading2-TechSpecs">
    <w:name w:val="Heading 2 - Tech Specs"/>
    <w:next w:val="BodyText-TechSpecs"/>
    <w:link w:val="Heading2-TechSpecsChar"/>
    <w:uiPriority w:val="6"/>
    <w:qFormat/>
    <w:rsid w:val="00824612"/>
    <w:pPr>
      <w:numPr>
        <w:ilvl w:val="1"/>
        <w:numId w:val="5"/>
      </w:numPr>
      <w:spacing w:before="240"/>
      <w:ind w:left="567" w:hanging="567"/>
      <w:outlineLvl w:val="1"/>
    </w:pPr>
    <w:rPr>
      <w:rFonts w:ascii="Calibri" w:eastAsia="Times New Roman" w:hAnsi="Calibri" w:cs="Times New Roman"/>
      <w:b/>
      <w:szCs w:val="26"/>
    </w:rPr>
  </w:style>
  <w:style w:type="paragraph" w:customStyle="1" w:styleId="Heading3-TechSpecs">
    <w:name w:val="Heading 3 - Tech Specs"/>
    <w:basedOn w:val="Heading3"/>
    <w:next w:val="BodyText-TechSpecs"/>
    <w:link w:val="Heading3-TechSpecsChar"/>
    <w:uiPriority w:val="6"/>
    <w:qFormat/>
    <w:rsid w:val="00824612"/>
    <w:pPr>
      <w:numPr>
        <w:numId w:val="10"/>
      </w:numPr>
      <w:tabs>
        <w:tab w:val="clear" w:pos="1701"/>
      </w:tabs>
      <w:ind w:hanging="567"/>
    </w:pPr>
    <w:rPr>
      <w:sz w:val="22"/>
    </w:rPr>
  </w:style>
  <w:style w:type="paragraph" w:customStyle="1" w:styleId="BodyText-TechSpecs">
    <w:name w:val="Body Text - Tech Specs"/>
    <w:link w:val="BodyText-TechSpecsChar"/>
    <w:uiPriority w:val="7"/>
    <w:qFormat/>
    <w:rsid w:val="00A05903"/>
    <w:pPr>
      <w:spacing w:before="120"/>
      <w:ind w:left="1134" w:hanging="1134"/>
    </w:pPr>
    <w:rPr>
      <w:rFonts w:ascii="Calibri" w:hAnsi="Calibri" w:cs="Times New Roman"/>
      <w:sz w:val="22"/>
    </w:rPr>
  </w:style>
  <w:style w:type="paragraph" w:customStyle="1" w:styleId="Bullets-TechSpecs">
    <w:name w:val="Bullets - Tech Specs"/>
    <w:link w:val="Bullets-TechSpecsChar"/>
    <w:uiPriority w:val="7"/>
    <w:qFormat/>
    <w:rsid w:val="007F6ABD"/>
    <w:pPr>
      <w:numPr>
        <w:numId w:val="3"/>
      </w:numPr>
      <w:spacing w:before="30" w:after="30"/>
      <w:ind w:left="341" w:hanging="284"/>
    </w:pPr>
    <w:rPr>
      <w:rFonts w:ascii="Calibri" w:hAnsi="Calibri" w:cs="Times New Roman"/>
      <w:sz w:val="20"/>
    </w:rPr>
  </w:style>
  <w:style w:type="character" w:customStyle="1" w:styleId="ListBulletChar">
    <w:name w:val="List Bullet Char"/>
    <w:basedOn w:val="BodyTextChar"/>
    <w:link w:val="ListBullet"/>
    <w:uiPriority w:val="3"/>
    <w:rsid w:val="00AF0095"/>
    <w:rPr>
      <w:rFonts w:ascii="Calibri" w:hAnsi="Calibri" w:cs="Times New Roman"/>
      <w:sz w:val="22"/>
    </w:rPr>
  </w:style>
  <w:style w:type="character" w:customStyle="1" w:styleId="ListBullet2Char">
    <w:name w:val="List Bullet 2 Char"/>
    <w:basedOn w:val="ListBulletChar"/>
    <w:link w:val="ListBullet2"/>
    <w:uiPriority w:val="3"/>
    <w:rsid w:val="00874458"/>
    <w:rPr>
      <w:rFonts w:ascii="Calibri" w:hAnsi="Calibri" w:cs="Times New Roman"/>
      <w:sz w:val="22"/>
    </w:rPr>
  </w:style>
  <w:style w:type="character" w:customStyle="1" w:styleId="ListBullet3Char">
    <w:name w:val="List Bullet 3 Char"/>
    <w:basedOn w:val="ListBulletChar"/>
    <w:link w:val="ListBullet3"/>
    <w:uiPriority w:val="3"/>
    <w:rsid w:val="00691616"/>
    <w:rPr>
      <w:rFonts w:ascii="Calibri" w:hAnsi="Calibri" w:cs="Times New Roman"/>
      <w:sz w:val="22"/>
    </w:rPr>
  </w:style>
  <w:style w:type="character" w:customStyle="1" w:styleId="ListBullet4Char">
    <w:name w:val="List Bullet 4 Char"/>
    <w:basedOn w:val="ListBulletChar"/>
    <w:link w:val="ListBullet4"/>
    <w:uiPriority w:val="3"/>
    <w:rsid w:val="00691616"/>
    <w:rPr>
      <w:rFonts w:ascii="Calibri" w:hAnsi="Calibri" w:cs="Times New Roman"/>
      <w:sz w:val="22"/>
    </w:rPr>
  </w:style>
  <w:style w:type="character" w:customStyle="1" w:styleId="ListBullet5Char">
    <w:name w:val="List Bullet 5 Char"/>
    <w:basedOn w:val="ListBulletChar"/>
    <w:link w:val="ListBullet5"/>
    <w:uiPriority w:val="3"/>
    <w:rsid w:val="00691616"/>
    <w:rPr>
      <w:rFonts w:ascii="Calibri" w:hAnsi="Calibri" w:cs="Times New Roman"/>
      <w:sz w:val="22"/>
    </w:rPr>
  </w:style>
  <w:style w:type="character" w:customStyle="1" w:styleId="ListNumberChar">
    <w:name w:val="List Number Char"/>
    <w:basedOn w:val="BodyTextChar"/>
    <w:link w:val="ListNumber"/>
    <w:uiPriority w:val="3"/>
    <w:rsid w:val="00C63857"/>
    <w:rPr>
      <w:rFonts w:ascii="Calibri" w:hAnsi="Calibri" w:cs="Times New Roman"/>
      <w:sz w:val="22"/>
    </w:rPr>
  </w:style>
  <w:style w:type="character" w:customStyle="1" w:styleId="ListNumber2Char">
    <w:name w:val="List Number 2 Char"/>
    <w:basedOn w:val="ListNumberChar"/>
    <w:link w:val="ListNumber2"/>
    <w:uiPriority w:val="3"/>
    <w:rsid w:val="00691616"/>
    <w:rPr>
      <w:rFonts w:ascii="Calibri" w:hAnsi="Calibri" w:cs="Times New Roman"/>
      <w:sz w:val="22"/>
    </w:rPr>
  </w:style>
  <w:style w:type="character" w:customStyle="1" w:styleId="ListNumber3Char">
    <w:name w:val="List Number 3 Char"/>
    <w:basedOn w:val="ListNumberChar"/>
    <w:link w:val="ListNumber3"/>
    <w:uiPriority w:val="3"/>
    <w:rsid w:val="00691616"/>
    <w:rPr>
      <w:rFonts w:ascii="Calibri" w:hAnsi="Calibri" w:cs="Times New Roman"/>
      <w:sz w:val="22"/>
    </w:rPr>
  </w:style>
  <w:style w:type="character" w:customStyle="1" w:styleId="ListNumber4Char">
    <w:name w:val="List Number 4 Char"/>
    <w:basedOn w:val="ListNumberChar"/>
    <w:link w:val="ListNumber4"/>
    <w:uiPriority w:val="3"/>
    <w:rsid w:val="00691616"/>
    <w:rPr>
      <w:rFonts w:ascii="Calibri" w:hAnsi="Calibri" w:cs="Times New Roman"/>
      <w:sz w:val="22"/>
    </w:rPr>
  </w:style>
  <w:style w:type="character" w:customStyle="1" w:styleId="ListNumber5Char">
    <w:name w:val="List Number 5 Char"/>
    <w:basedOn w:val="ListNumberChar"/>
    <w:link w:val="ListNumber5"/>
    <w:uiPriority w:val="3"/>
    <w:rsid w:val="00691616"/>
    <w:rPr>
      <w:rFonts w:ascii="Calibri" w:hAnsi="Calibri" w:cs="Times New Roman"/>
      <w:sz w:val="22"/>
    </w:rPr>
  </w:style>
  <w:style w:type="character" w:customStyle="1" w:styleId="Heading-AppendixChar">
    <w:name w:val="Heading - Appendix Char"/>
    <w:basedOn w:val="Heading1Char"/>
    <w:link w:val="Heading-Appendix"/>
    <w:uiPriority w:val="1"/>
    <w:rsid w:val="00C232F8"/>
    <w:rPr>
      <w:rFonts w:ascii="Calibri" w:eastAsia="Times New Roman" w:hAnsi="Calibri" w:cs="Times New Roman"/>
      <w:b/>
      <w:bCs/>
      <w:caps/>
      <w:color w:val="DD7433"/>
      <w:sz w:val="36"/>
      <w:szCs w:val="32"/>
    </w:rPr>
  </w:style>
  <w:style w:type="character" w:customStyle="1" w:styleId="Heading1-NoNumberChar">
    <w:name w:val="Heading 1 - No Number Char"/>
    <w:basedOn w:val="Heading1Char"/>
    <w:link w:val="Heading1-NoNumber"/>
    <w:uiPriority w:val="1"/>
    <w:rsid w:val="00C63857"/>
    <w:rPr>
      <w:rFonts w:ascii="Calibri" w:eastAsia="Times New Roman" w:hAnsi="Calibri" w:cs="Times New Roman"/>
      <w:b/>
      <w:bCs/>
      <w:caps/>
      <w:color w:val="DD7433"/>
      <w:sz w:val="36"/>
      <w:szCs w:val="32"/>
    </w:rPr>
  </w:style>
  <w:style w:type="character" w:customStyle="1" w:styleId="Heading2-NoNumberChar">
    <w:name w:val="Heading 2 - No Number Char"/>
    <w:basedOn w:val="Heading2Char"/>
    <w:link w:val="Heading2-NoNumber"/>
    <w:uiPriority w:val="1"/>
    <w:rsid w:val="00C63857"/>
    <w:rPr>
      <w:rFonts w:ascii="Calibri" w:eastAsia="Times New Roman" w:hAnsi="Calibri" w:cs="Times New Roman"/>
      <w:b/>
      <w:sz w:val="28"/>
      <w:szCs w:val="26"/>
    </w:rPr>
  </w:style>
  <w:style w:type="character" w:customStyle="1" w:styleId="Heading1-TechSpecsChar">
    <w:name w:val="Heading 1 - Tech Specs Char"/>
    <w:basedOn w:val="DefaultParagraphFont"/>
    <w:link w:val="Heading1-TechSpecs"/>
    <w:uiPriority w:val="6"/>
    <w:rsid w:val="00D51B3D"/>
    <w:rPr>
      <w:rFonts w:ascii="Calibri" w:eastAsia="Times New Roman" w:hAnsi="Calibri" w:cs="Times New Roman"/>
      <w:b/>
      <w:bCs/>
      <w:caps/>
      <w:color w:val="DD7433"/>
      <w:sz w:val="28"/>
      <w:szCs w:val="32"/>
    </w:rPr>
  </w:style>
  <w:style w:type="character" w:customStyle="1" w:styleId="Heading2-TechSpecsChar">
    <w:name w:val="Heading 2 - Tech Specs Char"/>
    <w:basedOn w:val="DefaultParagraphFont"/>
    <w:link w:val="Heading2-TechSpecs"/>
    <w:uiPriority w:val="6"/>
    <w:rsid w:val="00824612"/>
    <w:rPr>
      <w:rFonts w:ascii="Calibri" w:eastAsia="Times New Roman" w:hAnsi="Calibri" w:cs="Times New Roman"/>
      <w:b/>
      <w:szCs w:val="26"/>
    </w:rPr>
  </w:style>
  <w:style w:type="character" w:customStyle="1" w:styleId="Heading3-TechSpecsChar">
    <w:name w:val="Heading 3 - Tech Specs Char"/>
    <w:basedOn w:val="Heading3Char"/>
    <w:link w:val="Heading3-TechSpecs"/>
    <w:uiPriority w:val="6"/>
    <w:rsid w:val="00824612"/>
    <w:rPr>
      <w:rFonts w:ascii="Calibri" w:eastAsia="Times New Roman" w:hAnsi="Calibri" w:cs="Times New Roman"/>
      <w:b/>
      <w:bCs/>
      <w:color w:val="000000"/>
      <w:sz w:val="22"/>
      <w:szCs w:val="26"/>
    </w:rPr>
  </w:style>
  <w:style w:type="character" w:customStyle="1" w:styleId="BodyText-TechSpecsChar">
    <w:name w:val="Body Text - Tech Specs Char"/>
    <w:basedOn w:val="DefaultParagraphFont"/>
    <w:link w:val="BodyText-TechSpecs"/>
    <w:uiPriority w:val="7"/>
    <w:rsid w:val="00B51F62"/>
    <w:rPr>
      <w:rFonts w:ascii="Calibri" w:hAnsi="Calibri" w:cs="Times New Roman"/>
      <w:sz w:val="22"/>
    </w:rPr>
  </w:style>
  <w:style w:type="character" w:customStyle="1" w:styleId="Bullets-TechSpecsChar">
    <w:name w:val="Bullets - Tech Specs Char"/>
    <w:basedOn w:val="DefaultParagraphFont"/>
    <w:link w:val="Bullets-TechSpecs"/>
    <w:uiPriority w:val="7"/>
    <w:rsid w:val="007F6ABD"/>
    <w:rPr>
      <w:rFonts w:ascii="Calibri" w:hAnsi="Calibri" w:cs="Times New Roman"/>
      <w:sz w:val="20"/>
    </w:rPr>
  </w:style>
  <w:style w:type="character" w:customStyle="1" w:styleId="TableHeaderChar">
    <w:name w:val="Table Header Char"/>
    <w:basedOn w:val="DefaultParagraphFont"/>
    <w:link w:val="TableHeader"/>
    <w:uiPriority w:val="99"/>
    <w:rsid w:val="00261470"/>
    <w:rPr>
      <w:rFonts w:ascii="Calibri" w:hAnsi="Calibri" w:cs="Times New Roman"/>
      <w:b/>
      <w:color w:val="E36C0A" w:themeColor="accent6"/>
      <w:lang w:eastAsia="en-AU"/>
    </w:rPr>
  </w:style>
  <w:style w:type="character" w:customStyle="1" w:styleId="TableBodyChar">
    <w:name w:val="Table Body Char"/>
    <w:basedOn w:val="DefaultParagraphFont"/>
    <w:link w:val="TableBody"/>
    <w:uiPriority w:val="99"/>
    <w:rsid w:val="00725CC5"/>
    <w:rPr>
      <w:rFonts w:ascii="Calibri" w:hAnsi="Calibri" w:cs="Times New Roman"/>
      <w:sz w:val="20"/>
      <w:szCs w:val="20"/>
      <w:lang w:eastAsia="en-AU"/>
    </w:rPr>
  </w:style>
  <w:style w:type="character" w:customStyle="1" w:styleId="CaptionChar">
    <w:name w:val="Caption Char"/>
    <w:basedOn w:val="DefaultParagraphFont"/>
    <w:link w:val="Caption"/>
    <w:uiPriority w:val="5"/>
    <w:rsid w:val="00806F5D"/>
    <w:rPr>
      <w:rFonts w:ascii="Calibri" w:hAnsi="Calibri" w:cs="Times New Roman"/>
      <w:bCs/>
      <w:i/>
      <w:color w:val="404040" w:themeColor="text1" w:themeTint="BF"/>
      <w:sz w:val="22"/>
      <w:szCs w:val="18"/>
    </w:rPr>
  </w:style>
  <w:style w:type="character" w:customStyle="1" w:styleId="PhotoChar">
    <w:name w:val="Photo Char"/>
    <w:basedOn w:val="DefaultParagraphFont"/>
    <w:link w:val="Photo"/>
    <w:uiPriority w:val="5"/>
    <w:rsid w:val="00B51F62"/>
    <w:rPr>
      <w:rFonts w:ascii="Calibri" w:eastAsia="Times New Roman" w:hAnsi="Calibri" w:cs="Times New Roman"/>
      <w:b/>
      <w:bCs/>
      <w:noProof/>
      <w:color w:val="000000"/>
      <w:szCs w:val="26"/>
      <w:lang w:eastAsia="en-AU"/>
    </w:rPr>
  </w:style>
  <w:style w:type="character" w:customStyle="1" w:styleId="PicturesChar">
    <w:name w:val="Pictures Char"/>
    <w:basedOn w:val="DefaultParagraphFont"/>
    <w:link w:val="Pictures"/>
    <w:uiPriority w:val="5"/>
    <w:rsid w:val="00B51F62"/>
    <w:rPr>
      <w:rFonts w:ascii="Calibri" w:eastAsia="Times New Roman" w:hAnsi="Calibri" w:cs="Times New Roman"/>
      <w:b/>
      <w:bCs/>
      <w:noProof/>
      <w:color w:val="000000"/>
      <w:lang w:eastAsia="en-AU"/>
    </w:rPr>
  </w:style>
  <w:style w:type="character" w:customStyle="1" w:styleId="RuleChar">
    <w:name w:val="Rule Char"/>
    <w:basedOn w:val="DefaultParagraphFont"/>
    <w:link w:val="Rule"/>
    <w:uiPriority w:val="5"/>
    <w:rsid w:val="00B51F62"/>
    <w:rPr>
      <w:rFonts w:ascii="Calibri" w:hAnsi="Calibri" w:cs="Times New Roman"/>
      <w:sz w:val="20"/>
    </w:rPr>
  </w:style>
  <w:style w:type="paragraph" w:customStyle="1" w:styleId="Controlformtableheader">
    <w:name w:val="Control form table header"/>
    <w:basedOn w:val="Normal"/>
    <w:link w:val="ControlformtableheaderChar"/>
    <w:uiPriority w:val="99"/>
    <w:qFormat/>
    <w:rsid w:val="00806F5D"/>
    <w:rPr>
      <w:b/>
      <w:color w:val="E36C0A" w:themeColor="accent1"/>
      <w:sz w:val="24"/>
      <w:lang w:eastAsia="en-AU"/>
    </w:rPr>
  </w:style>
  <w:style w:type="character" w:customStyle="1" w:styleId="ControlformtableheaderChar">
    <w:name w:val="Control form table header Char"/>
    <w:basedOn w:val="DefaultParagraphFont"/>
    <w:link w:val="Controlformtableheader"/>
    <w:uiPriority w:val="99"/>
    <w:rsid w:val="00806F5D"/>
    <w:rPr>
      <w:rFonts w:ascii="Calibri" w:hAnsi="Calibri" w:cs="Times New Roman"/>
      <w:b/>
      <w:color w:val="E36C0A" w:themeColor="accent1"/>
      <w:lang w:eastAsia="en-AU"/>
    </w:rPr>
  </w:style>
  <w:style w:type="character" w:styleId="CommentReference">
    <w:name w:val="annotation reference"/>
    <w:basedOn w:val="DefaultParagraphFont"/>
    <w:uiPriority w:val="99"/>
    <w:semiHidden/>
    <w:unhideWhenUsed/>
    <w:rsid w:val="00633DB8"/>
    <w:rPr>
      <w:sz w:val="16"/>
      <w:szCs w:val="16"/>
    </w:rPr>
  </w:style>
  <w:style w:type="paragraph" w:styleId="CommentText">
    <w:name w:val="annotation text"/>
    <w:basedOn w:val="Normal"/>
    <w:link w:val="CommentTextChar"/>
    <w:uiPriority w:val="99"/>
    <w:semiHidden/>
    <w:unhideWhenUsed/>
    <w:rsid w:val="00633DB8"/>
    <w:pPr>
      <w:spacing w:line="240" w:lineRule="auto"/>
    </w:pPr>
    <w:rPr>
      <w:szCs w:val="20"/>
    </w:rPr>
  </w:style>
  <w:style w:type="character" w:customStyle="1" w:styleId="CommentTextChar">
    <w:name w:val="Comment Text Char"/>
    <w:basedOn w:val="DefaultParagraphFont"/>
    <w:link w:val="CommentText"/>
    <w:uiPriority w:val="99"/>
    <w:semiHidden/>
    <w:rsid w:val="00633DB8"/>
    <w:rPr>
      <w:rFonts w:ascii="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633DB8"/>
    <w:rPr>
      <w:b/>
      <w:bCs/>
    </w:rPr>
  </w:style>
  <w:style w:type="character" w:customStyle="1" w:styleId="CommentSubjectChar">
    <w:name w:val="Comment Subject Char"/>
    <w:basedOn w:val="CommentTextChar"/>
    <w:link w:val="CommentSubject"/>
    <w:uiPriority w:val="99"/>
    <w:semiHidden/>
    <w:rsid w:val="00633DB8"/>
    <w:rPr>
      <w:rFonts w:ascii="Calibri" w:hAnsi="Calibri" w:cs="Times New Roman"/>
      <w:b/>
      <w:bCs/>
      <w:sz w:val="20"/>
      <w:szCs w:val="20"/>
    </w:rPr>
  </w:style>
  <w:style w:type="paragraph" w:styleId="FootnoteText">
    <w:name w:val="footnote text"/>
    <w:basedOn w:val="Normal"/>
    <w:link w:val="FootnoteTextChar"/>
    <w:uiPriority w:val="99"/>
    <w:semiHidden/>
    <w:unhideWhenUsed/>
    <w:rsid w:val="004E6F0D"/>
    <w:pPr>
      <w:spacing w:after="0" w:line="240" w:lineRule="auto"/>
    </w:pPr>
    <w:rPr>
      <w:szCs w:val="20"/>
    </w:rPr>
  </w:style>
  <w:style w:type="character" w:customStyle="1" w:styleId="FootnoteTextChar">
    <w:name w:val="Footnote Text Char"/>
    <w:basedOn w:val="DefaultParagraphFont"/>
    <w:link w:val="FootnoteText"/>
    <w:uiPriority w:val="99"/>
    <w:semiHidden/>
    <w:rsid w:val="004E6F0D"/>
    <w:rPr>
      <w:rFonts w:ascii="Calibri" w:hAnsi="Calibri" w:cs="Times New Roman"/>
      <w:sz w:val="20"/>
      <w:szCs w:val="20"/>
    </w:rPr>
  </w:style>
  <w:style w:type="character" w:styleId="FootnoteReference">
    <w:name w:val="footnote reference"/>
    <w:basedOn w:val="DefaultParagraphFont"/>
    <w:uiPriority w:val="99"/>
    <w:semiHidden/>
    <w:unhideWhenUsed/>
    <w:rsid w:val="004E6F0D"/>
    <w:rPr>
      <w:vertAlign w:val="superscript"/>
    </w:rPr>
  </w:style>
  <w:style w:type="character" w:styleId="FollowedHyperlink">
    <w:name w:val="FollowedHyperlink"/>
    <w:basedOn w:val="DefaultParagraphFont"/>
    <w:uiPriority w:val="99"/>
    <w:semiHidden/>
    <w:unhideWhenUsed/>
    <w:rsid w:val="00EA16F0"/>
    <w:rPr>
      <w:color w:val="B2A2C7" w:themeColor="followedHyperlink"/>
      <w:u w:val="single"/>
    </w:rPr>
  </w:style>
  <w:style w:type="paragraph" w:styleId="Revision">
    <w:name w:val="Revision"/>
    <w:hidden/>
    <w:uiPriority w:val="99"/>
    <w:semiHidden/>
    <w:rsid w:val="00E51B43"/>
    <w:rPr>
      <w:rFonts w:ascii="Calibri" w:hAnsi="Calibri" w:cs="Times New Roman"/>
      <w:sz w:val="20"/>
    </w:rPr>
  </w:style>
  <w:style w:type="paragraph" w:styleId="DocumentMap">
    <w:name w:val="Document Map"/>
    <w:basedOn w:val="Normal"/>
    <w:link w:val="DocumentMapChar"/>
    <w:uiPriority w:val="99"/>
    <w:semiHidden/>
    <w:unhideWhenUsed/>
    <w:rsid w:val="00E51B43"/>
    <w:pPr>
      <w:spacing w:after="0" w:line="240" w:lineRule="auto"/>
    </w:pPr>
    <w:rPr>
      <w:rFonts w:ascii="Lucida Grande" w:hAnsi="Lucida Grande" w:cs="Lucida Grande"/>
      <w:sz w:val="24"/>
    </w:rPr>
  </w:style>
  <w:style w:type="character" w:customStyle="1" w:styleId="DocumentMapChar">
    <w:name w:val="Document Map Char"/>
    <w:basedOn w:val="DefaultParagraphFont"/>
    <w:link w:val="DocumentMap"/>
    <w:uiPriority w:val="99"/>
    <w:semiHidden/>
    <w:rsid w:val="00E51B43"/>
    <w:rPr>
      <w:rFonts w:ascii="Lucida Grande" w:hAnsi="Lucida Grande" w:cs="Lucida Grande"/>
    </w:rPr>
  </w:style>
  <w:style w:type="paragraph" w:customStyle="1" w:styleId="Bullet">
    <w:name w:val="Bullet"/>
    <w:basedOn w:val="Normal"/>
    <w:link w:val="BulletChar"/>
    <w:qFormat/>
    <w:rsid w:val="00416535"/>
    <w:pPr>
      <w:numPr>
        <w:numId w:val="19"/>
      </w:numPr>
      <w:spacing w:after="120" w:line="276" w:lineRule="auto"/>
      <w:ind w:left="567"/>
      <w:jc w:val="both"/>
    </w:pPr>
    <w:rPr>
      <w:rFonts w:ascii="Arial" w:eastAsia="Times New Roman" w:hAnsi="Arial" w:cs="Arial"/>
      <w:sz w:val="22"/>
      <w:szCs w:val="22"/>
    </w:rPr>
  </w:style>
  <w:style w:type="character" w:customStyle="1" w:styleId="BulletChar">
    <w:name w:val="Bullet Char"/>
    <w:basedOn w:val="DefaultParagraphFont"/>
    <w:link w:val="Bullet"/>
    <w:rsid w:val="00416535"/>
    <w:rPr>
      <w:rFonts w:ascii="Arial" w:eastAsia="Times New Roman" w:hAnsi="Arial" w:cs="Arial"/>
      <w:sz w:val="22"/>
      <w:szCs w:val="22"/>
    </w:rPr>
  </w:style>
  <w:style w:type="paragraph" w:customStyle="1" w:styleId="Paragraph">
    <w:name w:val="Paragraph"/>
    <w:basedOn w:val="Normal"/>
    <w:qFormat/>
    <w:rsid w:val="00416535"/>
    <w:pPr>
      <w:spacing w:after="240" w:line="276" w:lineRule="auto"/>
      <w:jc w:val="both"/>
    </w:pPr>
    <w:rPr>
      <w:rFonts w:ascii="Arial" w:eastAsiaTheme="minorHAnsi" w:hAnsi="Arial"/>
      <w:sz w:val="22"/>
      <w:szCs w:val="22"/>
      <w:lang w:eastAsia="en-AU"/>
    </w:rPr>
  </w:style>
  <w:style w:type="paragraph" w:customStyle="1" w:styleId="SMENORMALStyle2">
    <w:name w:val="SMENORMAL Style2"/>
    <w:basedOn w:val="Normal"/>
    <w:link w:val="SMENORMALStyle2Char"/>
    <w:rsid w:val="00416535"/>
    <w:pPr>
      <w:spacing w:after="120" w:line="276" w:lineRule="auto"/>
      <w:jc w:val="both"/>
    </w:pPr>
    <w:rPr>
      <w:rFonts w:ascii="Arial" w:eastAsia="Times New Roman" w:hAnsi="Arial" w:cs="Arial"/>
      <w:sz w:val="22"/>
      <w:szCs w:val="22"/>
    </w:rPr>
  </w:style>
  <w:style w:type="character" w:customStyle="1" w:styleId="SMENORMALStyle2Char">
    <w:name w:val="SMENORMAL Style2 Char"/>
    <w:basedOn w:val="DefaultParagraphFont"/>
    <w:link w:val="SMENORMALStyle2"/>
    <w:rsid w:val="00416535"/>
    <w:rPr>
      <w:rFonts w:ascii="Arial" w:eastAsia="Times New Roman" w:hAnsi="Arial" w:cs="Arial"/>
      <w:sz w:val="22"/>
      <w:szCs w:val="22"/>
    </w:rPr>
  </w:style>
  <w:style w:type="paragraph" w:customStyle="1" w:styleId="Tabletext">
    <w:name w:val="Table text"/>
    <w:basedOn w:val="Normal"/>
    <w:qFormat/>
    <w:rsid w:val="00D878D3"/>
    <w:pPr>
      <w:spacing w:before="120" w:after="120" w:line="240" w:lineRule="auto"/>
    </w:pPr>
    <w:rPr>
      <w:rFonts w:ascii="Arial" w:eastAsiaTheme="minorEastAsia" w:hAnsi="Arial" w:cstheme="minorHAnsi"/>
      <w:color w:val="595959"/>
      <w:szCs w:val="20"/>
      <w:lang w:eastAsia="en-AU"/>
    </w:rPr>
  </w:style>
  <w:style w:type="paragraph" w:customStyle="1" w:styleId="Subheading">
    <w:name w:val="Subheading"/>
    <w:uiPriority w:val="99"/>
    <w:qFormat/>
    <w:rsid w:val="005613AC"/>
    <w:pPr>
      <w:keepNext/>
      <w:spacing w:before="240"/>
    </w:pPr>
    <w:rPr>
      <w:rFonts w:eastAsiaTheme="majorEastAsia" w:cstheme="majorBidi"/>
      <w:b/>
      <w:i/>
      <w:iCs/>
      <w:color w:val="000000"/>
      <w:sz w:val="22"/>
      <w:szCs w:val="26"/>
    </w:rPr>
  </w:style>
  <w:style w:type="paragraph" w:styleId="Bibliography">
    <w:name w:val="Bibliography"/>
    <w:basedOn w:val="Normal"/>
    <w:next w:val="Normal"/>
    <w:uiPriority w:val="99"/>
    <w:semiHidden/>
    <w:unhideWhenUsed/>
    <w:rsid w:val="00BD0147"/>
  </w:style>
  <w:style w:type="paragraph" w:styleId="BlockText">
    <w:name w:val="Block Text"/>
    <w:basedOn w:val="Normal"/>
    <w:uiPriority w:val="99"/>
    <w:semiHidden/>
    <w:unhideWhenUsed/>
    <w:rsid w:val="00BD0147"/>
    <w:pPr>
      <w:pBdr>
        <w:top w:val="single" w:sz="2" w:space="10" w:color="E36C0A" w:themeColor="accent1" w:shadow="1"/>
        <w:left w:val="single" w:sz="2" w:space="10" w:color="E36C0A" w:themeColor="accent1" w:shadow="1"/>
        <w:bottom w:val="single" w:sz="2" w:space="10" w:color="E36C0A" w:themeColor="accent1" w:shadow="1"/>
        <w:right w:val="single" w:sz="2" w:space="10" w:color="E36C0A" w:themeColor="accent1" w:shadow="1"/>
      </w:pBdr>
      <w:ind w:left="1152" w:right="1152"/>
    </w:pPr>
    <w:rPr>
      <w:rFonts w:asciiTheme="minorHAnsi" w:eastAsiaTheme="minorEastAsia" w:hAnsiTheme="minorHAnsi" w:cstheme="minorBidi"/>
      <w:i/>
      <w:iCs/>
      <w:color w:val="E36C0A" w:themeColor="accent1"/>
    </w:rPr>
  </w:style>
  <w:style w:type="paragraph" w:styleId="BodyTextFirstIndent">
    <w:name w:val="Body Text First Indent"/>
    <w:basedOn w:val="BodyText"/>
    <w:link w:val="BodyTextFirstIndentChar"/>
    <w:uiPriority w:val="99"/>
    <w:rsid w:val="00BD0147"/>
    <w:pPr>
      <w:spacing w:before="0" w:after="112" w:line="240" w:lineRule="exact"/>
      <w:ind w:firstLine="360"/>
    </w:pPr>
    <w:rPr>
      <w:sz w:val="20"/>
    </w:rPr>
  </w:style>
  <w:style w:type="character" w:customStyle="1" w:styleId="BodyTextFirstIndentChar">
    <w:name w:val="Body Text First Indent Char"/>
    <w:basedOn w:val="BodyTextChar"/>
    <w:link w:val="BodyTextFirstIndent"/>
    <w:uiPriority w:val="99"/>
    <w:rsid w:val="00BD0147"/>
    <w:rPr>
      <w:rFonts w:ascii="Calibri" w:hAnsi="Calibri" w:cs="Times New Roman"/>
      <w:sz w:val="20"/>
    </w:rPr>
  </w:style>
  <w:style w:type="paragraph" w:styleId="BodyTextFirstIndent2">
    <w:name w:val="Body Text First Indent 2"/>
    <w:basedOn w:val="BodyTextIndent"/>
    <w:link w:val="BodyTextFirstIndent2Char"/>
    <w:uiPriority w:val="99"/>
    <w:semiHidden/>
    <w:unhideWhenUsed/>
    <w:rsid w:val="00BD0147"/>
    <w:pPr>
      <w:spacing w:after="112"/>
      <w:ind w:left="360" w:firstLine="360"/>
    </w:pPr>
  </w:style>
  <w:style w:type="character" w:customStyle="1" w:styleId="BodyTextFirstIndent2Char">
    <w:name w:val="Body Text First Indent 2 Char"/>
    <w:basedOn w:val="BodyTextIndentChar"/>
    <w:link w:val="BodyTextFirstIndent2"/>
    <w:uiPriority w:val="99"/>
    <w:semiHidden/>
    <w:rsid w:val="00BD0147"/>
    <w:rPr>
      <w:rFonts w:ascii="Calibri" w:hAnsi="Calibri" w:cs="Times New Roman"/>
      <w:sz w:val="20"/>
    </w:rPr>
  </w:style>
  <w:style w:type="paragraph" w:styleId="Closing">
    <w:name w:val="Closing"/>
    <w:basedOn w:val="Normal"/>
    <w:link w:val="ClosingChar"/>
    <w:uiPriority w:val="99"/>
    <w:semiHidden/>
    <w:unhideWhenUsed/>
    <w:rsid w:val="00BD0147"/>
    <w:pPr>
      <w:spacing w:after="0" w:line="240" w:lineRule="auto"/>
      <w:ind w:left="4252"/>
    </w:pPr>
  </w:style>
  <w:style w:type="character" w:customStyle="1" w:styleId="ClosingChar">
    <w:name w:val="Closing Char"/>
    <w:basedOn w:val="DefaultParagraphFont"/>
    <w:link w:val="Closing"/>
    <w:uiPriority w:val="99"/>
    <w:semiHidden/>
    <w:rsid w:val="00BD0147"/>
    <w:rPr>
      <w:rFonts w:ascii="Calibri" w:hAnsi="Calibri" w:cs="Times New Roman"/>
      <w:sz w:val="20"/>
    </w:rPr>
  </w:style>
  <w:style w:type="paragraph" w:styleId="Date">
    <w:name w:val="Date"/>
    <w:basedOn w:val="Normal"/>
    <w:next w:val="Normal"/>
    <w:link w:val="DateChar"/>
    <w:uiPriority w:val="99"/>
    <w:semiHidden/>
    <w:unhideWhenUsed/>
    <w:rsid w:val="00BD0147"/>
  </w:style>
  <w:style w:type="character" w:customStyle="1" w:styleId="DateChar">
    <w:name w:val="Date Char"/>
    <w:basedOn w:val="DefaultParagraphFont"/>
    <w:link w:val="Date"/>
    <w:uiPriority w:val="99"/>
    <w:semiHidden/>
    <w:rsid w:val="00BD0147"/>
    <w:rPr>
      <w:rFonts w:ascii="Calibri" w:hAnsi="Calibri" w:cs="Times New Roman"/>
      <w:sz w:val="20"/>
    </w:rPr>
  </w:style>
  <w:style w:type="paragraph" w:styleId="E-mailSignature">
    <w:name w:val="E-mail Signature"/>
    <w:basedOn w:val="Normal"/>
    <w:link w:val="E-mailSignatureChar"/>
    <w:uiPriority w:val="99"/>
    <w:semiHidden/>
    <w:unhideWhenUsed/>
    <w:rsid w:val="00BD0147"/>
    <w:pPr>
      <w:spacing w:after="0" w:line="240" w:lineRule="auto"/>
    </w:pPr>
  </w:style>
  <w:style w:type="character" w:customStyle="1" w:styleId="E-mailSignatureChar">
    <w:name w:val="E-mail Signature Char"/>
    <w:basedOn w:val="DefaultParagraphFont"/>
    <w:link w:val="E-mailSignature"/>
    <w:uiPriority w:val="99"/>
    <w:semiHidden/>
    <w:rsid w:val="00BD0147"/>
    <w:rPr>
      <w:rFonts w:ascii="Calibri" w:hAnsi="Calibri" w:cs="Times New Roman"/>
      <w:sz w:val="20"/>
    </w:rPr>
  </w:style>
  <w:style w:type="paragraph" w:styleId="EndnoteText">
    <w:name w:val="endnote text"/>
    <w:basedOn w:val="Normal"/>
    <w:link w:val="EndnoteTextChar"/>
    <w:uiPriority w:val="99"/>
    <w:semiHidden/>
    <w:unhideWhenUsed/>
    <w:rsid w:val="00BD0147"/>
    <w:pPr>
      <w:spacing w:after="0" w:line="240" w:lineRule="auto"/>
    </w:pPr>
    <w:rPr>
      <w:szCs w:val="20"/>
    </w:rPr>
  </w:style>
  <w:style w:type="character" w:customStyle="1" w:styleId="EndnoteTextChar">
    <w:name w:val="Endnote Text Char"/>
    <w:basedOn w:val="DefaultParagraphFont"/>
    <w:link w:val="EndnoteText"/>
    <w:uiPriority w:val="99"/>
    <w:semiHidden/>
    <w:rsid w:val="00BD0147"/>
    <w:rPr>
      <w:rFonts w:ascii="Calibri" w:hAnsi="Calibri" w:cs="Times New Roman"/>
      <w:sz w:val="20"/>
      <w:szCs w:val="20"/>
    </w:rPr>
  </w:style>
  <w:style w:type="paragraph" w:styleId="EnvelopeAddress">
    <w:name w:val="envelope address"/>
    <w:basedOn w:val="Normal"/>
    <w:uiPriority w:val="99"/>
    <w:semiHidden/>
    <w:unhideWhenUsed/>
    <w:rsid w:val="00BD0147"/>
    <w:pPr>
      <w:framePr w:w="7920" w:h="1980" w:hRule="exact" w:hSpace="180" w:wrap="auto" w:hAnchor="page" w:xAlign="center" w:yAlign="bottom"/>
      <w:spacing w:after="0" w:line="240" w:lineRule="auto"/>
      <w:ind w:left="2880"/>
    </w:pPr>
    <w:rPr>
      <w:rFonts w:asciiTheme="majorHAnsi" w:eastAsiaTheme="majorEastAsia" w:hAnsiTheme="majorHAnsi" w:cstheme="majorBidi"/>
      <w:sz w:val="24"/>
    </w:rPr>
  </w:style>
  <w:style w:type="paragraph" w:styleId="EnvelopeReturn">
    <w:name w:val="envelope return"/>
    <w:basedOn w:val="Normal"/>
    <w:uiPriority w:val="99"/>
    <w:semiHidden/>
    <w:unhideWhenUsed/>
    <w:rsid w:val="00BD0147"/>
    <w:pPr>
      <w:spacing w:after="0" w:line="240" w:lineRule="auto"/>
    </w:pPr>
    <w:rPr>
      <w:rFonts w:asciiTheme="majorHAnsi" w:eastAsiaTheme="majorEastAsia" w:hAnsiTheme="majorHAnsi" w:cstheme="majorBidi"/>
      <w:szCs w:val="20"/>
    </w:rPr>
  </w:style>
  <w:style w:type="character" w:customStyle="1" w:styleId="Heading5Char">
    <w:name w:val="Heading 5 Char"/>
    <w:basedOn w:val="DefaultParagraphFont"/>
    <w:link w:val="Heading5"/>
    <w:uiPriority w:val="99"/>
    <w:semiHidden/>
    <w:rsid w:val="00BD0147"/>
    <w:rPr>
      <w:rFonts w:asciiTheme="majorHAnsi" w:eastAsiaTheme="majorEastAsia" w:hAnsiTheme="majorHAnsi" w:cstheme="majorBidi"/>
      <w:color w:val="703505" w:themeColor="accent1" w:themeShade="7F"/>
      <w:sz w:val="20"/>
    </w:rPr>
  </w:style>
  <w:style w:type="character" w:customStyle="1" w:styleId="Heading6Char">
    <w:name w:val="Heading 6 Char"/>
    <w:basedOn w:val="DefaultParagraphFont"/>
    <w:link w:val="Heading6"/>
    <w:uiPriority w:val="99"/>
    <w:semiHidden/>
    <w:rsid w:val="00BD0147"/>
    <w:rPr>
      <w:rFonts w:asciiTheme="majorHAnsi" w:eastAsiaTheme="majorEastAsia" w:hAnsiTheme="majorHAnsi" w:cstheme="majorBidi"/>
      <w:i/>
      <w:iCs/>
      <w:color w:val="703505" w:themeColor="accent1" w:themeShade="7F"/>
      <w:sz w:val="20"/>
    </w:rPr>
  </w:style>
  <w:style w:type="character" w:customStyle="1" w:styleId="Heading7Char">
    <w:name w:val="Heading 7 Char"/>
    <w:basedOn w:val="DefaultParagraphFont"/>
    <w:link w:val="Heading7"/>
    <w:uiPriority w:val="99"/>
    <w:semiHidden/>
    <w:rsid w:val="00BD0147"/>
    <w:rPr>
      <w:rFonts w:asciiTheme="majorHAnsi" w:eastAsiaTheme="majorEastAsia" w:hAnsiTheme="majorHAnsi" w:cstheme="majorBidi"/>
      <w:i/>
      <w:iCs/>
      <w:color w:val="404040" w:themeColor="text1" w:themeTint="BF"/>
      <w:sz w:val="20"/>
    </w:rPr>
  </w:style>
  <w:style w:type="character" w:customStyle="1" w:styleId="Heading8Char">
    <w:name w:val="Heading 8 Char"/>
    <w:basedOn w:val="DefaultParagraphFont"/>
    <w:link w:val="Heading8"/>
    <w:uiPriority w:val="99"/>
    <w:semiHidden/>
    <w:rsid w:val="00BD0147"/>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9"/>
    <w:semiHidden/>
    <w:rsid w:val="00BD0147"/>
    <w:rPr>
      <w:rFonts w:asciiTheme="majorHAnsi" w:eastAsiaTheme="majorEastAsia" w:hAnsiTheme="majorHAnsi" w:cstheme="majorBidi"/>
      <w:i/>
      <w:iCs/>
      <w:color w:val="404040" w:themeColor="text1" w:themeTint="BF"/>
      <w:sz w:val="20"/>
      <w:szCs w:val="20"/>
    </w:rPr>
  </w:style>
  <w:style w:type="paragraph" w:styleId="HTMLAddress">
    <w:name w:val="HTML Address"/>
    <w:basedOn w:val="Normal"/>
    <w:link w:val="HTMLAddressChar"/>
    <w:uiPriority w:val="99"/>
    <w:semiHidden/>
    <w:unhideWhenUsed/>
    <w:rsid w:val="00BD0147"/>
    <w:pPr>
      <w:spacing w:after="0" w:line="240" w:lineRule="auto"/>
    </w:pPr>
    <w:rPr>
      <w:i/>
      <w:iCs/>
    </w:rPr>
  </w:style>
  <w:style w:type="character" w:customStyle="1" w:styleId="HTMLAddressChar">
    <w:name w:val="HTML Address Char"/>
    <w:basedOn w:val="DefaultParagraphFont"/>
    <w:link w:val="HTMLAddress"/>
    <w:uiPriority w:val="99"/>
    <w:semiHidden/>
    <w:rsid w:val="00BD0147"/>
    <w:rPr>
      <w:rFonts w:ascii="Calibri" w:hAnsi="Calibri" w:cs="Times New Roman"/>
      <w:i/>
      <w:iCs/>
      <w:sz w:val="20"/>
    </w:rPr>
  </w:style>
  <w:style w:type="paragraph" w:styleId="HTMLPreformatted">
    <w:name w:val="HTML Preformatted"/>
    <w:basedOn w:val="Normal"/>
    <w:link w:val="HTMLPreformattedChar"/>
    <w:uiPriority w:val="99"/>
    <w:semiHidden/>
    <w:unhideWhenUsed/>
    <w:rsid w:val="00BD0147"/>
    <w:pPr>
      <w:spacing w:after="0" w:line="240" w:lineRule="auto"/>
    </w:pPr>
    <w:rPr>
      <w:rFonts w:ascii="Consolas" w:hAnsi="Consolas"/>
      <w:szCs w:val="20"/>
    </w:rPr>
  </w:style>
  <w:style w:type="character" w:customStyle="1" w:styleId="HTMLPreformattedChar">
    <w:name w:val="HTML Preformatted Char"/>
    <w:basedOn w:val="DefaultParagraphFont"/>
    <w:link w:val="HTMLPreformatted"/>
    <w:uiPriority w:val="99"/>
    <w:semiHidden/>
    <w:rsid w:val="00BD0147"/>
    <w:rPr>
      <w:rFonts w:ascii="Consolas" w:hAnsi="Consolas" w:cs="Times New Roman"/>
      <w:sz w:val="20"/>
      <w:szCs w:val="20"/>
    </w:rPr>
  </w:style>
  <w:style w:type="paragraph" w:styleId="Index1">
    <w:name w:val="index 1"/>
    <w:basedOn w:val="Normal"/>
    <w:next w:val="Normal"/>
    <w:autoRedefine/>
    <w:uiPriority w:val="99"/>
    <w:semiHidden/>
    <w:unhideWhenUsed/>
    <w:rsid w:val="00BD0147"/>
    <w:pPr>
      <w:spacing w:after="0" w:line="240" w:lineRule="auto"/>
      <w:ind w:left="200" w:hanging="200"/>
    </w:pPr>
  </w:style>
  <w:style w:type="paragraph" w:styleId="Index2">
    <w:name w:val="index 2"/>
    <w:basedOn w:val="Normal"/>
    <w:next w:val="Normal"/>
    <w:autoRedefine/>
    <w:uiPriority w:val="99"/>
    <w:semiHidden/>
    <w:unhideWhenUsed/>
    <w:rsid w:val="00BD0147"/>
    <w:pPr>
      <w:spacing w:after="0" w:line="240" w:lineRule="auto"/>
      <w:ind w:left="400" w:hanging="200"/>
    </w:pPr>
  </w:style>
  <w:style w:type="paragraph" w:styleId="Index3">
    <w:name w:val="index 3"/>
    <w:basedOn w:val="Normal"/>
    <w:next w:val="Normal"/>
    <w:autoRedefine/>
    <w:uiPriority w:val="99"/>
    <w:semiHidden/>
    <w:unhideWhenUsed/>
    <w:rsid w:val="00BD0147"/>
    <w:pPr>
      <w:spacing w:after="0" w:line="240" w:lineRule="auto"/>
      <w:ind w:left="600" w:hanging="200"/>
    </w:pPr>
  </w:style>
  <w:style w:type="paragraph" w:styleId="Index4">
    <w:name w:val="index 4"/>
    <w:basedOn w:val="Normal"/>
    <w:next w:val="Normal"/>
    <w:autoRedefine/>
    <w:uiPriority w:val="99"/>
    <w:semiHidden/>
    <w:unhideWhenUsed/>
    <w:rsid w:val="00BD0147"/>
    <w:pPr>
      <w:spacing w:after="0" w:line="240" w:lineRule="auto"/>
      <w:ind w:left="800" w:hanging="200"/>
    </w:pPr>
  </w:style>
  <w:style w:type="paragraph" w:styleId="Index5">
    <w:name w:val="index 5"/>
    <w:basedOn w:val="Normal"/>
    <w:next w:val="Normal"/>
    <w:autoRedefine/>
    <w:uiPriority w:val="99"/>
    <w:semiHidden/>
    <w:unhideWhenUsed/>
    <w:rsid w:val="00BD0147"/>
    <w:pPr>
      <w:spacing w:after="0" w:line="240" w:lineRule="auto"/>
      <w:ind w:left="1000" w:hanging="200"/>
    </w:pPr>
  </w:style>
  <w:style w:type="paragraph" w:styleId="Index6">
    <w:name w:val="index 6"/>
    <w:basedOn w:val="Normal"/>
    <w:next w:val="Normal"/>
    <w:autoRedefine/>
    <w:uiPriority w:val="99"/>
    <w:semiHidden/>
    <w:unhideWhenUsed/>
    <w:rsid w:val="00BD0147"/>
    <w:pPr>
      <w:spacing w:after="0" w:line="240" w:lineRule="auto"/>
      <w:ind w:left="1200" w:hanging="200"/>
    </w:pPr>
  </w:style>
  <w:style w:type="paragraph" w:styleId="Index7">
    <w:name w:val="index 7"/>
    <w:basedOn w:val="Normal"/>
    <w:next w:val="Normal"/>
    <w:autoRedefine/>
    <w:uiPriority w:val="99"/>
    <w:semiHidden/>
    <w:unhideWhenUsed/>
    <w:rsid w:val="00BD0147"/>
    <w:pPr>
      <w:spacing w:after="0" w:line="240" w:lineRule="auto"/>
      <w:ind w:left="1400" w:hanging="200"/>
    </w:pPr>
  </w:style>
  <w:style w:type="paragraph" w:styleId="Index8">
    <w:name w:val="index 8"/>
    <w:basedOn w:val="Normal"/>
    <w:next w:val="Normal"/>
    <w:autoRedefine/>
    <w:uiPriority w:val="99"/>
    <w:semiHidden/>
    <w:unhideWhenUsed/>
    <w:rsid w:val="00BD0147"/>
    <w:pPr>
      <w:spacing w:after="0" w:line="240" w:lineRule="auto"/>
      <w:ind w:left="1600" w:hanging="200"/>
    </w:pPr>
  </w:style>
  <w:style w:type="paragraph" w:styleId="IndexHeading">
    <w:name w:val="index heading"/>
    <w:basedOn w:val="Normal"/>
    <w:next w:val="Index1"/>
    <w:uiPriority w:val="99"/>
    <w:semiHidden/>
    <w:unhideWhenUsed/>
    <w:rsid w:val="00BD0147"/>
    <w:rPr>
      <w:rFonts w:asciiTheme="majorHAnsi" w:eastAsiaTheme="majorEastAsia" w:hAnsiTheme="majorHAnsi" w:cstheme="majorBidi"/>
      <w:b/>
      <w:bCs/>
    </w:rPr>
  </w:style>
  <w:style w:type="paragraph" w:styleId="IntenseQuote">
    <w:name w:val="Intense Quote"/>
    <w:basedOn w:val="Normal"/>
    <w:next w:val="Normal"/>
    <w:link w:val="IntenseQuoteChar"/>
    <w:uiPriority w:val="99"/>
    <w:rsid w:val="00BD0147"/>
    <w:pPr>
      <w:pBdr>
        <w:bottom w:val="single" w:sz="4" w:space="4" w:color="E36C0A" w:themeColor="accent1"/>
      </w:pBdr>
      <w:spacing w:before="200" w:after="280"/>
      <w:ind w:left="936" w:right="936"/>
    </w:pPr>
    <w:rPr>
      <w:b/>
      <w:bCs/>
      <w:i/>
      <w:iCs/>
      <w:color w:val="E36C0A" w:themeColor="accent1"/>
    </w:rPr>
  </w:style>
  <w:style w:type="character" w:customStyle="1" w:styleId="IntenseQuoteChar">
    <w:name w:val="Intense Quote Char"/>
    <w:basedOn w:val="DefaultParagraphFont"/>
    <w:link w:val="IntenseQuote"/>
    <w:uiPriority w:val="99"/>
    <w:rsid w:val="00BD0147"/>
    <w:rPr>
      <w:rFonts w:ascii="Calibri" w:hAnsi="Calibri" w:cs="Times New Roman"/>
      <w:b/>
      <w:bCs/>
      <w:i/>
      <w:iCs/>
      <w:color w:val="E36C0A" w:themeColor="accent1"/>
      <w:sz w:val="20"/>
    </w:rPr>
  </w:style>
  <w:style w:type="paragraph" w:styleId="List">
    <w:name w:val="List"/>
    <w:basedOn w:val="Normal"/>
    <w:uiPriority w:val="99"/>
    <w:semiHidden/>
    <w:unhideWhenUsed/>
    <w:rsid w:val="00BD0147"/>
    <w:pPr>
      <w:ind w:left="283" w:hanging="283"/>
      <w:contextualSpacing/>
    </w:pPr>
  </w:style>
  <w:style w:type="paragraph" w:styleId="List2">
    <w:name w:val="List 2"/>
    <w:basedOn w:val="Normal"/>
    <w:uiPriority w:val="99"/>
    <w:semiHidden/>
    <w:unhideWhenUsed/>
    <w:rsid w:val="00BD0147"/>
    <w:pPr>
      <w:ind w:left="566" w:hanging="283"/>
      <w:contextualSpacing/>
    </w:pPr>
  </w:style>
  <w:style w:type="paragraph" w:styleId="List3">
    <w:name w:val="List 3"/>
    <w:basedOn w:val="Normal"/>
    <w:uiPriority w:val="99"/>
    <w:semiHidden/>
    <w:unhideWhenUsed/>
    <w:rsid w:val="00BD0147"/>
    <w:pPr>
      <w:ind w:left="849" w:hanging="283"/>
      <w:contextualSpacing/>
    </w:pPr>
  </w:style>
  <w:style w:type="paragraph" w:styleId="List4">
    <w:name w:val="List 4"/>
    <w:basedOn w:val="Normal"/>
    <w:uiPriority w:val="99"/>
    <w:rsid w:val="00BD0147"/>
    <w:pPr>
      <w:ind w:left="1132" w:hanging="283"/>
      <w:contextualSpacing/>
    </w:pPr>
  </w:style>
  <w:style w:type="paragraph" w:styleId="List5">
    <w:name w:val="List 5"/>
    <w:basedOn w:val="Normal"/>
    <w:uiPriority w:val="99"/>
    <w:rsid w:val="00BD0147"/>
    <w:pPr>
      <w:ind w:left="1415" w:hanging="283"/>
      <w:contextualSpacing/>
    </w:pPr>
  </w:style>
  <w:style w:type="paragraph" w:styleId="ListContinue">
    <w:name w:val="List Continue"/>
    <w:basedOn w:val="Normal"/>
    <w:uiPriority w:val="99"/>
    <w:semiHidden/>
    <w:unhideWhenUsed/>
    <w:rsid w:val="00BD0147"/>
    <w:pPr>
      <w:spacing w:after="120"/>
      <w:ind w:left="283"/>
      <w:contextualSpacing/>
    </w:pPr>
  </w:style>
  <w:style w:type="paragraph" w:styleId="ListContinue2">
    <w:name w:val="List Continue 2"/>
    <w:basedOn w:val="Normal"/>
    <w:uiPriority w:val="99"/>
    <w:semiHidden/>
    <w:unhideWhenUsed/>
    <w:rsid w:val="00BD0147"/>
    <w:pPr>
      <w:spacing w:after="120"/>
      <w:ind w:left="566"/>
      <w:contextualSpacing/>
    </w:pPr>
  </w:style>
  <w:style w:type="paragraph" w:styleId="ListContinue3">
    <w:name w:val="List Continue 3"/>
    <w:basedOn w:val="Normal"/>
    <w:uiPriority w:val="99"/>
    <w:semiHidden/>
    <w:unhideWhenUsed/>
    <w:rsid w:val="00BD0147"/>
    <w:pPr>
      <w:spacing w:after="120"/>
      <w:ind w:left="849"/>
      <w:contextualSpacing/>
    </w:pPr>
  </w:style>
  <w:style w:type="paragraph" w:styleId="ListContinue4">
    <w:name w:val="List Continue 4"/>
    <w:basedOn w:val="Normal"/>
    <w:uiPriority w:val="99"/>
    <w:semiHidden/>
    <w:unhideWhenUsed/>
    <w:rsid w:val="00BD0147"/>
    <w:pPr>
      <w:spacing w:after="120"/>
      <w:ind w:left="1132"/>
      <w:contextualSpacing/>
    </w:pPr>
  </w:style>
  <w:style w:type="paragraph" w:styleId="ListContinue5">
    <w:name w:val="List Continue 5"/>
    <w:basedOn w:val="Normal"/>
    <w:uiPriority w:val="99"/>
    <w:semiHidden/>
    <w:unhideWhenUsed/>
    <w:rsid w:val="00BD0147"/>
    <w:pPr>
      <w:spacing w:after="120"/>
      <w:ind w:left="1415"/>
      <w:contextualSpacing/>
    </w:pPr>
  </w:style>
  <w:style w:type="paragraph" w:styleId="ListParagraph">
    <w:name w:val="List Paragraph"/>
    <w:basedOn w:val="Normal"/>
    <w:uiPriority w:val="99"/>
    <w:rsid w:val="00BD0147"/>
    <w:pPr>
      <w:ind w:left="720"/>
      <w:contextualSpacing/>
    </w:pPr>
  </w:style>
  <w:style w:type="paragraph" w:styleId="MacroText">
    <w:name w:val="macro"/>
    <w:link w:val="MacroTextChar"/>
    <w:uiPriority w:val="99"/>
    <w:semiHidden/>
    <w:unhideWhenUsed/>
    <w:rsid w:val="00BD0147"/>
    <w:pPr>
      <w:tabs>
        <w:tab w:val="left" w:pos="480"/>
        <w:tab w:val="left" w:pos="960"/>
        <w:tab w:val="left" w:pos="1440"/>
        <w:tab w:val="left" w:pos="1920"/>
        <w:tab w:val="left" w:pos="2400"/>
        <w:tab w:val="left" w:pos="2880"/>
        <w:tab w:val="left" w:pos="3360"/>
        <w:tab w:val="left" w:pos="3840"/>
        <w:tab w:val="left" w:pos="4320"/>
      </w:tabs>
      <w:spacing w:line="240" w:lineRule="exact"/>
    </w:pPr>
    <w:rPr>
      <w:rFonts w:ascii="Consolas" w:hAnsi="Consolas" w:cs="Times New Roman"/>
      <w:sz w:val="20"/>
      <w:szCs w:val="20"/>
    </w:rPr>
  </w:style>
  <w:style w:type="character" w:customStyle="1" w:styleId="MacroTextChar">
    <w:name w:val="Macro Text Char"/>
    <w:basedOn w:val="DefaultParagraphFont"/>
    <w:link w:val="MacroText"/>
    <w:uiPriority w:val="99"/>
    <w:semiHidden/>
    <w:rsid w:val="00BD0147"/>
    <w:rPr>
      <w:rFonts w:ascii="Consolas" w:hAnsi="Consolas" w:cs="Times New Roman"/>
      <w:sz w:val="20"/>
      <w:szCs w:val="20"/>
    </w:rPr>
  </w:style>
  <w:style w:type="paragraph" w:styleId="MessageHeader">
    <w:name w:val="Message Header"/>
    <w:basedOn w:val="Normal"/>
    <w:link w:val="MessageHeaderChar"/>
    <w:uiPriority w:val="99"/>
    <w:semiHidden/>
    <w:unhideWhenUsed/>
    <w:rsid w:val="00BD0147"/>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rPr>
  </w:style>
  <w:style w:type="character" w:customStyle="1" w:styleId="MessageHeaderChar">
    <w:name w:val="Message Header Char"/>
    <w:basedOn w:val="DefaultParagraphFont"/>
    <w:link w:val="MessageHeader"/>
    <w:uiPriority w:val="99"/>
    <w:semiHidden/>
    <w:rsid w:val="00BD0147"/>
    <w:rPr>
      <w:rFonts w:asciiTheme="majorHAnsi" w:eastAsiaTheme="majorEastAsia" w:hAnsiTheme="majorHAnsi" w:cstheme="majorBidi"/>
      <w:shd w:val="pct20" w:color="auto" w:fill="auto"/>
    </w:rPr>
  </w:style>
  <w:style w:type="paragraph" w:styleId="NoSpacing">
    <w:name w:val="No Spacing"/>
    <w:uiPriority w:val="99"/>
    <w:rsid w:val="00BD0147"/>
    <w:rPr>
      <w:rFonts w:ascii="Calibri" w:hAnsi="Calibri" w:cs="Times New Roman"/>
      <w:sz w:val="20"/>
    </w:rPr>
  </w:style>
  <w:style w:type="paragraph" w:styleId="NormalWeb">
    <w:name w:val="Normal (Web)"/>
    <w:basedOn w:val="Normal"/>
    <w:uiPriority w:val="99"/>
    <w:semiHidden/>
    <w:unhideWhenUsed/>
    <w:rsid w:val="00BD0147"/>
    <w:rPr>
      <w:rFonts w:ascii="Times New Roman" w:hAnsi="Times New Roman"/>
      <w:sz w:val="24"/>
    </w:rPr>
  </w:style>
  <w:style w:type="paragraph" w:styleId="NormalIndent">
    <w:name w:val="Normal Indent"/>
    <w:basedOn w:val="Normal"/>
    <w:uiPriority w:val="99"/>
    <w:semiHidden/>
    <w:unhideWhenUsed/>
    <w:rsid w:val="00BD0147"/>
    <w:pPr>
      <w:ind w:left="720"/>
    </w:pPr>
  </w:style>
  <w:style w:type="paragraph" w:styleId="NoteHeading">
    <w:name w:val="Note Heading"/>
    <w:basedOn w:val="Normal"/>
    <w:next w:val="Normal"/>
    <w:link w:val="NoteHeadingChar"/>
    <w:uiPriority w:val="99"/>
    <w:semiHidden/>
    <w:unhideWhenUsed/>
    <w:rsid w:val="00BD0147"/>
    <w:pPr>
      <w:spacing w:after="0" w:line="240" w:lineRule="auto"/>
    </w:pPr>
  </w:style>
  <w:style w:type="character" w:customStyle="1" w:styleId="NoteHeadingChar">
    <w:name w:val="Note Heading Char"/>
    <w:basedOn w:val="DefaultParagraphFont"/>
    <w:link w:val="NoteHeading"/>
    <w:uiPriority w:val="99"/>
    <w:semiHidden/>
    <w:rsid w:val="00BD0147"/>
    <w:rPr>
      <w:rFonts w:ascii="Calibri" w:hAnsi="Calibri" w:cs="Times New Roman"/>
      <w:sz w:val="20"/>
    </w:rPr>
  </w:style>
  <w:style w:type="paragraph" w:styleId="PlainText">
    <w:name w:val="Plain Text"/>
    <w:basedOn w:val="Normal"/>
    <w:link w:val="PlainTextChar"/>
    <w:uiPriority w:val="99"/>
    <w:semiHidden/>
    <w:unhideWhenUsed/>
    <w:rsid w:val="00BD0147"/>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BD0147"/>
    <w:rPr>
      <w:rFonts w:ascii="Consolas" w:hAnsi="Consolas" w:cs="Times New Roman"/>
      <w:sz w:val="21"/>
      <w:szCs w:val="21"/>
    </w:rPr>
  </w:style>
  <w:style w:type="paragraph" w:styleId="Quote">
    <w:name w:val="Quote"/>
    <w:basedOn w:val="Normal"/>
    <w:next w:val="Normal"/>
    <w:link w:val="QuoteChar"/>
    <w:uiPriority w:val="99"/>
    <w:rsid w:val="00BD0147"/>
    <w:rPr>
      <w:i/>
      <w:iCs/>
      <w:color w:val="000000" w:themeColor="text1"/>
    </w:rPr>
  </w:style>
  <w:style w:type="character" w:customStyle="1" w:styleId="QuoteChar">
    <w:name w:val="Quote Char"/>
    <w:basedOn w:val="DefaultParagraphFont"/>
    <w:link w:val="Quote"/>
    <w:uiPriority w:val="99"/>
    <w:rsid w:val="00BD0147"/>
    <w:rPr>
      <w:rFonts w:ascii="Calibri" w:hAnsi="Calibri" w:cs="Times New Roman"/>
      <w:i/>
      <w:iCs/>
      <w:color w:val="000000" w:themeColor="text1"/>
      <w:sz w:val="20"/>
    </w:rPr>
  </w:style>
  <w:style w:type="paragraph" w:styleId="Salutation">
    <w:name w:val="Salutation"/>
    <w:basedOn w:val="Normal"/>
    <w:next w:val="Normal"/>
    <w:link w:val="SalutationChar"/>
    <w:uiPriority w:val="99"/>
    <w:rsid w:val="00BD0147"/>
  </w:style>
  <w:style w:type="character" w:customStyle="1" w:styleId="SalutationChar">
    <w:name w:val="Salutation Char"/>
    <w:basedOn w:val="DefaultParagraphFont"/>
    <w:link w:val="Salutation"/>
    <w:uiPriority w:val="99"/>
    <w:rsid w:val="00BD0147"/>
    <w:rPr>
      <w:rFonts w:ascii="Calibri" w:hAnsi="Calibri" w:cs="Times New Roman"/>
      <w:sz w:val="20"/>
    </w:rPr>
  </w:style>
  <w:style w:type="paragraph" w:styleId="Signature">
    <w:name w:val="Signature"/>
    <w:basedOn w:val="Normal"/>
    <w:link w:val="SignatureChar"/>
    <w:uiPriority w:val="99"/>
    <w:semiHidden/>
    <w:unhideWhenUsed/>
    <w:rsid w:val="00BD0147"/>
    <w:pPr>
      <w:spacing w:after="0" w:line="240" w:lineRule="auto"/>
      <w:ind w:left="4252"/>
    </w:pPr>
  </w:style>
  <w:style w:type="character" w:customStyle="1" w:styleId="SignatureChar">
    <w:name w:val="Signature Char"/>
    <w:basedOn w:val="DefaultParagraphFont"/>
    <w:link w:val="Signature"/>
    <w:uiPriority w:val="99"/>
    <w:semiHidden/>
    <w:rsid w:val="00BD0147"/>
    <w:rPr>
      <w:rFonts w:ascii="Calibri" w:hAnsi="Calibri" w:cs="Times New Roman"/>
      <w:sz w:val="20"/>
    </w:rPr>
  </w:style>
  <w:style w:type="paragraph" w:styleId="Subtitle">
    <w:name w:val="Subtitle"/>
    <w:basedOn w:val="Normal"/>
    <w:next w:val="Normal"/>
    <w:link w:val="SubtitleChar"/>
    <w:uiPriority w:val="99"/>
    <w:rsid w:val="00BD0147"/>
    <w:pPr>
      <w:numPr>
        <w:ilvl w:val="1"/>
      </w:numPr>
    </w:pPr>
    <w:rPr>
      <w:rFonts w:asciiTheme="majorHAnsi" w:eastAsiaTheme="majorEastAsia" w:hAnsiTheme="majorHAnsi" w:cstheme="majorBidi"/>
      <w:i/>
      <w:iCs/>
      <w:color w:val="E36C0A" w:themeColor="accent1"/>
      <w:spacing w:val="15"/>
      <w:sz w:val="24"/>
    </w:rPr>
  </w:style>
  <w:style w:type="character" w:customStyle="1" w:styleId="SubtitleChar">
    <w:name w:val="Subtitle Char"/>
    <w:basedOn w:val="DefaultParagraphFont"/>
    <w:link w:val="Subtitle"/>
    <w:uiPriority w:val="99"/>
    <w:rsid w:val="00BD0147"/>
    <w:rPr>
      <w:rFonts w:asciiTheme="majorHAnsi" w:eastAsiaTheme="majorEastAsia" w:hAnsiTheme="majorHAnsi" w:cstheme="majorBidi"/>
      <w:i/>
      <w:iCs/>
      <w:color w:val="E36C0A" w:themeColor="accent1"/>
      <w:spacing w:val="15"/>
    </w:rPr>
  </w:style>
  <w:style w:type="paragraph" w:styleId="TableofAuthorities">
    <w:name w:val="table of authorities"/>
    <w:basedOn w:val="Normal"/>
    <w:next w:val="Normal"/>
    <w:uiPriority w:val="99"/>
    <w:semiHidden/>
    <w:unhideWhenUsed/>
    <w:rsid w:val="00BD0147"/>
    <w:pPr>
      <w:spacing w:after="0"/>
      <w:ind w:left="200" w:hanging="200"/>
    </w:pPr>
  </w:style>
  <w:style w:type="paragraph" w:styleId="Title">
    <w:name w:val="Title"/>
    <w:basedOn w:val="Normal"/>
    <w:next w:val="Normal"/>
    <w:link w:val="TitleChar"/>
    <w:uiPriority w:val="99"/>
    <w:rsid w:val="00BD0147"/>
    <w:pPr>
      <w:pBdr>
        <w:bottom w:val="single" w:sz="8" w:space="4" w:color="E36C0A" w:themeColor="accent1"/>
      </w:pBdr>
      <w:spacing w:after="300" w:line="240" w:lineRule="auto"/>
      <w:contextualSpacing/>
    </w:pPr>
    <w:rPr>
      <w:rFonts w:asciiTheme="majorHAnsi" w:eastAsiaTheme="majorEastAsia" w:hAnsiTheme="majorHAnsi" w:cstheme="majorBidi"/>
      <w:color w:val="424242" w:themeColor="text2" w:themeShade="BF"/>
      <w:spacing w:val="5"/>
      <w:kern w:val="28"/>
      <w:sz w:val="52"/>
      <w:szCs w:val="52"/>
    </w:rPr>
  </w:style>
  <w:style w:type="character" w:customStyle="1" w:styleId="TitleChar">
    <w:name w:val="Title Char"/>
    <w:basedOn w:val="DefaultParagraphFont"/>
    <w:link w:val="Title"/>
    <w:uiPriority w:val="99"/>
    <w:rsid w:val="00BD0147"/>
    <w:rPr>
      <w:rFonts w:asciiTheme="majorHAnsi" w:eastAsiaTheme="majorEastAsia" w:hAnsiTheme="majorHAnsi" w:cstheme="majorBidi"/>
      <w:color w:val="424242" w:themeColor="text2" w:themeShade="BF"/>
      <w:spacing w:val="5"/>
      <w:kern w:val="28"/>
      <w:sz w:val="52"/>
      <w:szCs w:val="52"/>
    </w:rPr>
  </w:style>
  <w:style w:type="paragraph" w:styleId="TOAHeading">
    <w:name w:val="toa heading"/>
    <w:basedOn w:val="Normal"/>
    <w:next w:val="Normal"/>
    <w:uiPriority w:val="99"/>
    <w:semiHidden/>
    <w:unhideWhenUsed/>
    <w:rsid w:val="00BD0147"/>
    <w:pPr>
      <w:spacing w:before="120"/>
    </w:pPr>
    <w:rPr>
      <w:rFonts w:asciiTheme="majorHAnsi" w:eastAsiaTheme="majorEastAsia" w:hAnsiTheme="majorHAnsi" w:cstheme="majorBidi"/>
      <w:b/>
      <w:bCs/>
      <w:sz w:val="24"/>
    </w:rPr>
  </w:style>
  <w:style w:type="paragraph" w:styleId="TOC6">
    <w:name w:val="toc 6"/>
    <w:basedOn w:val="Normal"/>
    <w:next w:val="Normal"/>
    <w:autoRedefine/>
    <w:uiPriority w:val="99"/>
    <w:semiHidden/>
    <w:unhideWhenUsed/>
    <w:rsid w:val="00BD0147"/>
    <w:pPr>
      <w:spacing w:after="100"/>
      <w:ind w:left="1000"/>
    </w:pPr>
  </w:style>
  <w:style w:type="paragraph" w:styleId="TOC7">
    <w:name w:val="toc 7"/>
    <w:basedOn w:val="Normal"/>
    <w:next w:val="Normal"/>
    <w:autoRedefine/>
    <w:uiPriority w:val="99"/>
    <w:semiHidden/>
    <w:unhideWhenUsed/>
    <w:rsid w:val="00BD0147"/>
    <w:pPr>
      <w:spacing w:after="100"/>
      <w:ind w:left="1200"/>
    </w:pPr>
  </w:style>
  <w:style w:type="paragraph" w:styleId="TOC8">
    <w:name w:val="toc 8"/>
    <w:basedOn w:val="Normal"/>
    <w:next w:val="Normal"/>
    <w:autoRedefine/>
    <w:uiPriority w:val="99"/>
    <w:semiHidden/>
    <w:unhideWhenUsed/>
    <w:rsid w:val="00BD0147"/>
    <w:pPr>
      <w:spacing w:after="100"/>
      <w:ind w:left="1400"/>
    </w:pPr>
  </w:style>
  <w:style w:type="paragraph" w:styleId="TOC9">
    <w:name w:val="toc 9"/>
    <w:basedOn w:val="Normal"/>
    <w:next w:val="Normal"/>
    <w:autoRedefine/>
    <w:uiPriority w:val="99"/>
    <w:semiHidden/>
    <w:unhideWhenUsed/>
    <w:rsid w:val="00BD0147"/>
    <w:pPr>
      <w:spacing w:after="100"/>
      <w:ind w:left="160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Cambria" w:hAnsiTheme="minorHAnsi" w:cstheme="minorBidi"/>
        <w:sz w:val="24"/>
        <w:szCs w:val="24"/>
        <w:lang w:val="en-AU" w:eastAsia="en-US" w:bidi="ar-SA"/>
      </w:rPr>
    </w:rPrDefault>
    <w:pPrDefault/>
  </w:docDefaults>
  <w:latentStyles w:defLockedState="0" w:defUIPriority="0" w:defSemiHidden="1" w:defUnhideWhenUsed="1" w:defQFormat="0" w:count="267">
    <w:lsdException w:name="Normal" w:semiHidden="0" w:uiPriority="99" w:unhideWhenUsed="0" w:qFormat="1"/>
    <w:lsdException w:name="heading 1" w:semiHidden="0" w:unhideWhenUsed="0" w:qFormat="1"/>
    <w:lsdException w:name="heading 2" w:qFormat="1"/>
    <w:lsdException w:name="heading 3" w:qFormat="1"/>
    <w:lsdException w:name="heading 4" w:semiHidden="0" w:unhideWhenUsed="0" w:qFormat="1"/>
    <w:lsdException w:name="heading 5" w:uiPriority="99" w:unhideWhenUsed="0"/>
    <w:lsdException w:name="heading 6" w:uiPriority="99" w:unhideWhenUsed="0"/>
    <w:lsdException w:name="heading 7" w:uiPriority="99"/>
    <w:lsdException w:name="heading 8" w:uiPriority="99"/>
    <w:lsdException w:name="heading 9" w:uiPriority="99"/>
    <w:lsdException w:name="index 1" w:uiPriority="99"/>
    <w:lsdException w:name="index 2" w:uiPriority="99"/>
    <w:lsdException w:name="index 3" w:uiPriority="99"/>
    <w:lsdException w:name="index 4" w:uiPriority="99"/>
    <w:lsdException w:name="index 5" w:uiPriority="99"/>
    <w:lsdException w:name="index 6" w:uiPriority="99"/>
    <w:lsdException w:name="index 7" w:uiPriority="99"/>
    <w:lsdException w:name="index 8" w:uiPriority="99"/>
    <w:lsdException w:name="index 9" w:uiPriority="99"/>
    <w:lsdException w:name="toc 1" w:uiPriority="39" w:qFormat="1"/>
    <w:lsdException w:name="toc 2" w:uiPriority="39" w:qFormat="1"/>
    <w:lsdException w:name="toc 3" w:uiPriority="39" w:qFormat="1"/>
    <w:lsdException w:name="toc 4" w:uiPriority="39"/>
    <w:lsdException w:name="toc 5" w:uiPriority="39"/>
    <w:lsdException w:name="toc 6" w:uiPriority="99"/>
    <w:lsdException w:name="toc 7" w:uiPriority="99"/>
    <w:lsdException w:name="toc 8" w:uiPriority="99"/>
    <w:lsdException w:name="toc 9" w:uiPriority="99"/>
    <w:lsdException w:name="Normal Indent" w:uiPriority="99"/>
    <w:lsdException w:name="footnote text" w:uiPriority="99"/>
    <w:lsdException w:name="annotation text" w:uiPriority="99"/>
    <w:lsdException w:name="header" w:uiPriority="99"/>
    <w:lsdException w:name="footer" w:uiPriority="99"/>
    <w:lsdException w:name="index heading" w:uiPriority="99"/>
    <w:lsdException w:name="caption" w:uiPriority="5" w:qFormat="1"/>
    <w:lsdException w:name="table of figures" w:uiPriority="99"/>
    <w:lsdException w:name="envelope address" w:uiPriority="99"/>
    <w:lsdException w:name="envelope return" w:uiPriority="99"/>
    <w:lsdException w:name="footnote reference" w:uiPriority="99"/>
    <w:lsdException w:name="annotation reference" w:uiPriority="99"/>
    <w:lsdException w:name="line number" w:uiPriority="99"/>
    <w:lsdException w:name="page number" w:uiPriority="99"/>
    <w:lsdException w:name="endnote reference" w:uiPriority="99"/>
    <w:lsdException w:name="endnote text" w:uiPriority="99"/>
    <w:lsdException w:name="table of authorities" w:uiPriority="99"/>
    <w:lsdException w:name="macro" w:uiPriority="99"/>
    <w:lsdException w:name="toa heading" w:uiPriority="99"/>
    <w:lsdException w:name="List" w:uiPriority="99"/>
    <w:lsdException w:name="List Bullet" w:uiPriority="3" w:qFormat="1"/>
    <w:lsdException w:name="List Number" w:semiHidden="0" w:uiPriority="3" w:unhideWhenUsed="0"/>
    <w:lsdException w:name="List 2" w:uiPriority="99"/>
    <w:lsdException w:name="List 3" w:uiPriority="99"/>
    <w:lsdException w:name="List 4" w:semiHidden="0" w:uiPriority="99" w:unhideWhenUsed="0"/>
    <w:lsdException w:name="List 5" w:semiHidden="0" w:uiPriority="99" w:unhideWhenUsed="0"/>
    <w:lsdException w:name="List Bullet 2" w:uiPriority="3" w:qFormat="1"/>
    <w:lsdException w:name="List Bullet 3" w:uiPriority="3"/>
    <w:lsdException w:name="List Bullet 4" w:uiPriority="3"/>
    <w:lsdException w:name="List Bullet 5" w:uiPriority="3"/>
    <w:lsdException w:name="List Number 2" w:uiPriority="3"/>
    <w:lsdException w:name="List Number 3" w:uiPriority="3"/>
    <w:lsdException w:name="List Number 4" w:uiPriority="3"/>
    <w:lsdException w:name="List Number 5" w:uiPriority="3"/>
    <w:lsdException w:name="Title" w:semiHidden="0" w:uiPriority="99" w:unhideWhenUsed="0"/>
    <w:lsdException w:name="Closing" w:uiPriority="99"/>
    <w:lsdException w:name="Signature" w:uiPriority="99"/>
    <w:lsdException w:name="Default Paragraph Font" w:uiPriority="1"/>
    <w:lsdException w:name="Body Text" w:uiPriority="2" w:qFormat="1"/>
    <w:lsdException w:name="Body Text Indent" w:uiPriority="99"/>
    <w:lsdException w:name="List Continue" w:uiPriority="99"/>
    <w:lsdException w:name="List Continue 2" w:uiPriority="99"/>
    <w:lsdException w:name="List Continue 3" w:uiPriority="99"/>
    <w:lsdException w:name="List Continue 4" w:uiPriority="99"/>
    <w:lsdException w:name="List Continue 5" w:uiPriority="99"/>
    <w:lsdException w:name="Message Header" w:uiPriority="99"/>
    <w:lsdException w:name="Subtitle" w:semiHidden="0" w:uiPriority="99" w:unhideWhenUsed="0"/>
    <w:lsdException w:name="Salutation" w:semiHidden="0" w:uiPriority="99" w:unhideWhenUsed="0"/>
    <w:lsdException w:name="Date" w:uiPriority="99"/>
    <w:lsdException w:name="Body Text First Indent" w:semiHidden="0" w:uiPriority="99" w:unhideWhenUsed="0"/>
    <w:lsdException w:name="Body Text First Indent 2" w:uiPriority="99"/>
    <w:lsdException w:name="Note Heading" w:uiPriority="99"/>
    <w:lsdException w:name="Body Text 2" w:uiPriority="8"/>
    <w:lsdException w:name="Body Text 3" w:uiPriority="8"/>
    <w:lsdException w:name="Body Text Indent 2" w:uiPriority="3"/>
    <w:lsdException w:name="Body Text Indent 3" w:uiPriority="3"/>
    <w:lsdException w:name="Block Text" w:uiPriority="99"/>
    <w:lsdException w:name="Hyperlink" w:uiPriority="99"/>
    <w:lsdException w:name="FollowedHyperlink" w:uiPriority="99"/>
    <w:lsdException w:name="Strong" w:semiHidden="0" w:uiPriority="99" w:unhideWhenUsed="0"/>
    <w:lsdException w:name="Emphasis" w:uiPriority="99"/>
    <w:lsdException w:name="Document Map" w:uiPriority="99"/>
    <w:lsdException w:name="Plain Text" w:uiPriority="99"/>
    <w:lsdException w:name="E-mail Signature" w:uiPriority="99"/>
    <w:lsdException w:name="HTML Top of Form" w:uiPriority="99"/>
    <w:lsdException w:name="HTML Bottom of Form" w:uiPriority="99"/>
    <w:lsdException w:name="Normal (Web)" w:uiPriority="99"/>
    <w:lsdException w:name="HTML Acronym" w:uiPriority="99"/>
    <w:lsdException w:name="HTML Address" w:uiPriority="99"/>
    <w:lsdException w:name="HTML Cite" w:uiPriority="99"/>
    <w:lsdException w:name="HTML Code" w:uiPriority="99"/>
    <w:lsdException w:name="HTML Definition" w:uiPriority="99"/>
    <w:lsdException w:name="HTML Keyboard" w:uiPriority="99"/>
    <w:lsdException w:name="HTML Preformatted" w:uiPriority="99"/>
    <w:lsdException w:name="HTML Sample" w:uiPriority="99"/>
    <w:lsdException w:name="HTML Typewriter" w:uiPriority="99"/>
    <w:lsdException w:name="HTML Variable" w:uiPriority="99"/>
    <w:lsdException w:name="Normal Table" w:uiPriority="99"/>
    <w:lsdException w:name="annotation subject" w:uiPriority="99"/>
    <w:lsdException w:name="No List" w:uiPriority="99"/>
    <w:lsdException w:name="Balloon Text" w:uiPriority="99"/>
    <w:lsdException w:name="Table Grid" w:semiHidden="0" w:uiPriority="59" w:unhideWhenUsed="0"/>
    <w:lsdException w:name="Placeholder Text" w:semiHidden="0" w:uiPriority="99" w:unhideWhenUsed="0"/>
    <w:lsdException w:name="No Spacing" w:semiHidden="0" w:uiPriority="99" w:unhideWhenUsed="0"/>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iPriority="99" w:unhideWhenUsed="0"/>
    <w:lsdException w:name="List Paragraph" w:semiHidden="0" w:uiPriority="99" w:unhideWhenUsed="0"/>
    <w:lsdException w:name="Quote" w:semiHidden="0" w:uiPriority="99" w:unhideWhenUsed="0"/>
    <w:lsdException w:name="Intense Quote" w:semiHidden="0" w:uiPriority="99"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iPriority="99" w:unhideWhenUsed="0"/>
    <w:lsdException w:name="Intense Emphasis" w:semiHidden="0" w:uiPriority="99" w:unhideWhenUsed="0"/>
    <w:lsdException w:name="Subtle Reference" w:semiHidden="0" w:uiPriority="99" w:unhideWhenUsed="0"/>
    <w:lsdException w:name="Intense Reference" w:semiHidden="0" w:uiPriority="99" w:unhideWhenUsed="0"/>
    <w:lsdException w:name="Book Title" w:uiPriority="99"/>
    <w:lsdException w:name="Bibliography" w:uiPriority="99"/>
    <w:lsdException w:name="TOC Heading" w:uiPriority="39" w:qFormat="1"/>
  </w:latentStyles>
  <w:style w:type="paragraph" w:default="1" w:styleId="Normal">
    <w:name w:val="Normal"/>
    <w:uiPriority w:val="99"/>
    <w:qFormat/>
    <w:rsid w:val="001A3268"/>
    <w:pPr>
      <w:spacing w:after="112" w:line="240" w:lineRule="exact"/>
    </w:pPr>
    <w:rPr>
      <w:rFonts w:ascii="Calibri" w:hAnsi="Calibri" w:cs="Times New Roman"/>
      <w:sz w:val="20"/>
    </w:rPr>
  </w:style>
  <w:style w:type="paragraph" w:styleId="Heading1">
    <w:name w:val="heading 1"/>
    <w:next w:val="Heading2"/>
    <w:link w:val="Heading1Char"/>
    <w:qFormat/>
    <w:rsid w:val="006E338D"/>
    <w:pPr>
      <w:keepNext/>
      <w:keepLines/>
      <w:pageBreakBefore/>
      <w:numPr>
        <w:numId w:val="6"/>
      </w:numPr>
      <w:pBdr>
        <w:bottom w:val="single" w:sz="4" w:space="1" w:color="E36C0A" w:themeColor="accent1"/>
      </w:pBdr>
      <w:spacing w:after="240"/>
      <w:ind w:left="426" w:hanging="426"/>
      <w:contextualSpacing/>
      <w:outlineLvl w:val="0"/>
    </w:pPr>
    <w:rPr>
      <w:rFonts w:ascii="Calibri" w:eastAsia="Times New Roman" w:hAnsi="Calibri" w:cs="Times New Roman"/>
      <w:b/>
      <w:bCs/>
      <w:caps/>
      <w:color w:val="DD7433"/>
      <w:sz w:val="36"/>
      <w:szCs w:val="32"/>
    </w:rPr>
  </w:style>
  <w:style w:type="paragraph" w:styleId="Heading2">
    <w:name w:val="heading 2"/>
    <w:next w:val="Heading3"/>
    <w:link w:val="Heading2Char"/>
    <w:qFormat/>
    <w:rsid w:val="00691616"/>
    <w:pPr>
      <w:keepNext/>
      <w:numPr>
        <w:ilvl w:val="1"/>
        <w:numId w:val="6"/>
      </w:numPr>
      <w:spacing w:before="240"/>
      <w:ind w:left="709" w:hanging="709"/>
      <w:outlineLvl w:val="1"/>
    </w:pPr>
    <w:rPr>
      <w:rFonts w:ascii="Calibri" w:eastAsia="Times New Roman" w:hAnsi="Calibri" w:cs="Times New Roman"/>
      <w:b/>
      <w:sz w:val="28"/>
      <w:szCs w:val="26"/>
    </w:rPr>
  </w:style>
  <w:style w:type="paragraph" w:styleId="Heading3">
    <w:name w:val="heading 3"/>
    <w:next w:val="BodyText"/>
    <w:link w:val="Heading3Char"/>
    <w:qFormat/>
    <w:rsid w:val="008C366C"/>
    <w:pPr>
      <w:keepNext/>
      <w:keepLines/>
      <w:numPr>
        <w:ilvl w:val="2"/>
        <w:numId w:val="6"/>
      </w:numPr>
      <w:spacing w:before="240"/>
      <w:ind w:left="0" w:firstLine="0"/>
      <w:outlineLvl w:val="2"/>
    </w:pPr>
    <w:rPr>
      <w:rFonts w:ascii="Calibri" w:eastAsia="Times New Roman" w:hAnsi="Calibri" w:cs="Times New Roman"/>
      <w:b/>
      <w:bCs/>
      <w:color w:val="000000"/>
      <w:szCs w:val="26"/>
    </w:rPr>
  </w:style>
  <w:style w:type="paragraph" w:styleId="Heading4">
    <w:name w:val="heading 4"/>
    <w:next w:val="BodyText"/>
    <w:link w:val="Heading4Char"/>
    <w:qFormat/>
    <w:rsid w:val="0082235C"/>
    <w:pPr>
      <w:keepNext/>
      <w:spacing w:before="240"/>
      <w:outlineLvl w:val="3"/>
    </w:pPr>
    <w:rPr>
      <w:rFonts w:eastAsiaTheme="majorEastAsia" w:cstheme="majorBidi"/>
      <w:b/>
      <w:i/>
      <w:iCs/>
      <w:color w:val="000000"/>
      <w:sz w:val="22"/>
      <w:szCs w:val="26"/>
    </w:rPr>
  </w:style>
  <w:style w:type="paragraph" w:styleId="Heading5">
    <w:name w:val="heading 5"/>
    <w:basedOn w:val="Normal"/>
    <w:next w:val="Normal"/>
    <w:link w:val="Heading5Char"/>
    <w:uiPriority w:val="99"/>
    <w:semiHidden/>
    <w:rsid w:val="00BD0147"/>
    <w:pPr>
      <w:keepNext/>
      <w:keepLines/>
      <w:spacing w:before="200" w:after="0"/>
      <w:outlineLvl w:val="4"/>
    </w:pPr>
    <w:rPr>
      <w:rFonts w:asciiTheme="majorHAnsi" w:eastAsiaTheme="majorEastAsia" w:hAnsiTheme="majorHAnsi" w:cstheme="majorBidi"/>
      <w:color w:val="703505" w:themeColor="accent1" w:themeShade="7F"/>
    </w:rPr>
  </w:style>
  <w:style w:type="paragraph" w:styleId="Heading6">
    <w:name w:val="heading 6"/>
    <w:basedOn w:val="Normal"/>
    <w:next w:val="Normal"/>
    <w:link w:val="Heading6Char"/>
    <w:uiPriority w:val="99"/>
    <w:semiHidden/>
    <w:rsid w:val="00BD0147"/>
    <w:pPr>
      <w:keepNext/>
      <w:keepLines/>
      <w:spacing w:before="200" w:after="0"/>
      <w:outlineLvl w:val="5"/>
    </w:pPr>
    <w:rPr>
      <w:rFonts w:asciiTheme="majorHAnsi" w:eastAsiaTheme="majorEastAsia" w:hAnsiTheme="majorHAnsi" w:cstheme="majorBidi"/>
      <w:i/>
      <w:iCs/>
      <w:color w:val="703505" w:themeColor="accent1" w:themeShade="7F"/>
    </w:rPr>
  </w:style>
  <w:style w:type="paragraph" w:styleId="Heading7">
    <w:name w:val="heading 7"/>
    <w:basedOn w:val="Normal"/>
    <w:next w:val="Normal"/>
    <w:link w:val="Heading7Char"/>
    <w:uiPriority w:val="99"/>
    <w:semiHidden/>
    <w:unhideWhenUsed/>
    <w:rsid w:val="00BD0147"/>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9"/>
    <w:semiHidden/>
    <w:unhideWhenUsed/>
    <w:rsid w:val="00BD0147"/>
    <w:pPr>
      <w:keepNext/>
      <w:keepLines/>
      <w:spacing w:before="200" w:after="0"/>
      <w:outlineLvl w:val="7"/>
    </w:pPr>
    <w:rPr>
      <w:rFonts w:asciiTheme="majorHAnsi" w:eastAsiaTheme="majorEastAsia" w:hAnsiTheme="majorHAnsi" w:cstheme="majorBidi"/>
      <w:color w:val="404040" w:themeColor="text1" w:themeTint="BF"/>
      <w:szCs w:val="20"/>
    </w:rPr>
  </w:style>
  <w:style w:type="paragraph" w:styleId="Heading9">
    <w:name w:val="heading 9"/>
    <w:basedOn w:val="Normal"/>
    <w:next w:val="Normal"/>
    <w:link w:val="Heading9Char"/>
    <w:uiPriority w:val="99"/>
    <w:semiHidden/>
    <w:unhideWhenUsed/>
    <w:rsid w:val="00BD0147"/>
    <w:pPr>
      <w:keepNext/>
      <w:keepLines/>
      <w:spacing w:before="200" w:after="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6E338D"/>
    <w:rPr>
      <w:rFonts w:ascii="Calibri" w:eastAsia="Times New Roman" w:hAnsi="Calibri" w:cs="Times New Roman"/>
      <w:b/>
      <w:bCs/>
      <w:caps/>
      <w:color w:val="DD7433"/>
      <w:sz w:val="36"/>
      <w:szCs w:val="32"/>
    </w:rPr>
  </w:style>
  <w:style w:type="character" w:customStyle="1" w:styleId="Heading2Char">
    <w:name w:val="Heading 2 Char"/>
    <w:basedOn w:val="DefaultParagraphFont"/>
    <w:link w:val="Heading2"/>
    <w:rsid w:val="00691616"/>
    <w:rPr>
      <w:rFonts w:ascii="Calibri" w:eastAsia="Times New Roman" w:hAnsi="Calibri" w:cs="Times New Roman"/>
      <w:b/>
      <w:sz w:val="28"/>
      <w:szCs w:val="26"/>
    </w:rPr>
  </w:style>
  <w:style w:type="character" w:customStyle="1" w:styleId="Heading3Char">
    <w:name w:val="Heading 3 Char"/>
    <w:basedOn w:val="DefaultParagraphFont"/>
    <w:link w:val="Heading3"/>
    <w:rsid w:val="008C366C"/>
    <w:rPr>
      <w:rFonts w:ascii="Calibri" w:eastAsia="Times New Roman" w:hAnsi="Calibri" w:cs="Times New Roman"/>
      <w:b/>
      <w:bCs/>
      <w:color w:val="000000"/>
      <w:szCs w:val="26"/>
    </w:rPr>
  </w:style>
  <w:style w:type="table" w:styleId="TableGrid">
    <w:name w:val="Table Grid"/>
    <w:basedOn w:val="TableNormal"/>
    <w:uiPriority w:val="59"/>
    <w:rsid w:val="00806F5D"/>
    <w:rPr>
      <w:rFonts w:ascii="Cambria" w:hAnsi="Cambria" w:cs="Times New Roman"/>
      <w:sz w:val="20"/>
      <w:szCs w:val="20"/>
      <w:lang w:eastAsia="en-AU"/>
    </w:rPr>
    <w:tblPr>
      <w:tblBorders>
        <w:bottom w:val="single" w:sz="4" w:space="0" w:color="000000"/>
        <w:insideH w:val="single" w:sz="4" w:space="0" w:color="000000"/>
        <w:insideV w:val="single" w:sz="4" w:space="0" w:color="000000"/>
      </w:tblBorders>
    </w:tblPr>
  </w:style>
  <w:style w:type="paragraph" w:customStyle="1" w:styleId="FooterTextOdd">
    <w:name w:val="Footer Text Odd"/>
    <w:basedOn w:val="Normal"/>
    <w:uiPriority w:val="21"/>
    <w:qFormat/>
    <w:rsid w:val="00A05903"/>
    <w:pPr>
      <w:pBdr>
        <w:top w:val="single" w:sz="4" w:space="1" w:color="DD7433"/>
      </w:pBdr>
      <w:spacing w:after="0"/>
      <w:jc w:val="right"/>
    </w:pPr>
    <w:rPr>
      <w:color w:val="000000"/>
      <w:sz w:val="18"/>
    </w:rPr>
  </w:style>
  <w:style w:type="character" w:customStyle="1" w:styleId="Heading4Char">
    <w:name w:val="Heading 4 Char"/>
    <w:basedOn w:val="DefaultParagraphFont"/>
    <w:link w:val="Heading4"/>
    <w:rsid w:val="0082235C"/>
    <w:rPr>
      <w:rFonts w:eastAsiaTheme="majorEastAsia" w:cstheme="majorBidi"/>
      <w:b/>
      <w:i/>
      <w:iCs/>
      <w:color w:val="000000"/>
      <w:sz w:val="22"/>
      <w:szCs w:val="26"/>
    </w:rPr>
  </w:style>
  <w:style w:type="paragraph" w:styleId="BodyText">
    <w:name w:val="Body Text"/>
    <w:basedOn w:val="Normal"/>
    <w:link w:val="BodyTextChar"/>
    <w:uiPriority w:val="2"/>
    <w:qFormat/>
    <w:rsid w:val="00A05903"/>
    <w:pPr>
      <w:spacing w:before="120" w:after="0" w:line="240" w:lineRule="auto"/>
    </w:pPr>
    <w:rPr>
      <w:sz w:val="22"/>
    </w:rPr>
  </w:style>
  <w:style w:type="character" w:customStyle="1" w:styleId="BodyTextChar">
    <w:name w:val="Body Text Char"/>
    <w:basedOn w:val="DefaultParagraphFont"/>
    <w:link w:val="BodyText"/>
    <w:uiPriority w:val="2"/>
    <w:rsid w:val="003901FD"/>
    <w:rPr>
      <w:rFonts w:ascii="Calibri" w:hAnsi="Calibri" w:cs="Times New Roman"/>
      <w:sz w:val="22"/>
    </w:rPr>
  </w:style>
  <w:style w:type="numbering" w:customStyle="1" w:styleId="Headings">
    <w:name w:val="Headings"/>
    <w:uiPriority w:val="99"/>
    <w:rsid w:val="00A05903"/>
    <w:pPr>
      <w:numPr>
        <w:numId w:val="7"/>
      </w:numPr>
    </w:pPr>
  </w:style>
  <w:style w:type="paragraph" w:customStyle="1" w:styleId="Pictures">
    <w:name w:val="Pictures"/>
    <w:link w:val="PicturesChar"/>
    <w:uiPriority w:val="5"/>
    <w:rsid w:val="00A05903"/>
    <w:pPr>
      <w:framePr w:wrap="around" w:vAnchor="page" w:hAnchor="page" w:xAlign="center" w:y="9640"/>
    </w:pPr>
    <w:rPr>
      <w:rFonts w:ascii="Calibri" w:eastAsia="Times New Roman" w:hAnsi="Calibri" w:cs="Times New Roman"/>
      <w:b/>
      <w:bCs/>
      <w:noProof/>
      <w:color w:val="000000"/>
      <w:lang w:eastAsia="en-AU"/>
    </w:rPr>
  </w:style>
  <w:style w:type="paragraph" w:customStyle="1" w:styleId="CoverPageHeading">
    <w:name w:val="Cover Page Heading"/>
    <w:uiPriority w:val="7"/>
    <w:qFormat/>
    <w:rsid w:val="00A05903"/>
    <w:pPr>
      <w:spacing w:line="216" w:lineRule="auto"/>
      <w:jc w:val="right"/>
    </w:pPr>
    <w:rPr>
      <w:rFonts w:ascii="Calibri" w:hAnsi="Calibri" w:cs="Times New Roman"/>
      <w:color w:val="DD7433"/>
      <w:sz w:val="80"/>
      <w:lang w:val="en-US"/>
    </w:rPr>
  </w:style>
  <w:style w:type="character" w:customStyle="1" w:styleId="BodyTextIndent1Char">
    <w:name w:val="Body Text Indent 1 Char"/>
    <w:basedOn w:val="BodyTextChar"/>
    <w:link w:val="BodyTextIndent1"/>
    <w:uiPriority w:val="3"/>
    <w:rsid w:val="00C63857"/>
    <w:rPr>
      <w:rFonts w:ascii="Calibri" w:hAnsi="Calibri" w:cs="Times New Roman"/>
      <w:sz w:val="22"/>
    </w:rPr>
  </w:style>
  <w:style w:type="paragraph" w:customStyle="1" w:styleId="CoverPageSubheading">
    <w:name w:val="Cover Page Subheading"/>
    <w:uiPriority w:val="7"/>
    <w:qFormat/>
    <w:rsid w:val="00A05903"/>
    <w:pPr>
      <w:spacing w:after="240" w:line="216" w:lineRule="auto"/>
      <w:jc w:val="right"/>
    </w:pPr>
    <w:rPr>
      <w:rFonts w:ascii="Calibri" w:hAnsi="Calibri" w:cs="Times New Roman"/>
      <w:color w:val="595959" w:themeColor="text1" w:themeTint="A6"/>
      <w:sz w:val="56"/>
      <w:szCs w:val="40"/>
      <w:lang w:val="en-US"/>
    </w:rPr>
  </w:style>
  <w:style w:type="paragraph" w:customStyle="1" w:styleId="HeaderText">
    <w:name w:val="Header Text"/>
    <w:basedOn w:val="Normal"/>
    <w:uiPriority w:val="21"/>
    <w:qFormat/>
    <w:rsid w:val="00A05903"/>
    <w:pPr>
      <w:spacing w:before="120" w:after="0"/>
      <w:jc w:val="right"/>
    </w:pPr>
    <w:rPr>
      <w:b/>
      <w:color w:val="7F7F7F" w:themeColor="text1" w:themeTint="80"/>
    </w:rPr>
  </w:style>
  <w:style w:type="paragraph" w:styleId="Footer">
    <w:name w:val="footer"/>
    <w:basedOn w:val="Normal"/>
    <w:link w:val="FooterChar"/>
    <w:uiPriority w:val="99"/>
    <w:unhideWhenUsed/>
    <w:rsid w:val="00A05903"/>
    <w:pPr>
      <w:tabs>
        <w:tab w:val="center" w:pos="4320"/>
        <w:tab w:val="right" w:pos="8640"/>
      </w:tabs>
    </w:pPr>
  </w:style>
  <w:style w:type="character" w:customStyle="1" w:styleId="FooterChar">
    <w:name w:val="Footer Char"/>
    <w:basedOn w:val="DefaultParagraphFont"/>
    <w:link w:val="Footer"/>
    <w:uiPriority w:val="99"/>
    <w:rsid w:val="000F3597"/>
    <w:rPr>
      <w:rFonts w:ascii="Calibri" w:hAnsi="Calibri" w:cs="Times New Roman"/>
      <w:sz w:val="20"/>
    </w:rPr>
  </w:style>
  <w:style w:type="paragraph" w:styleId="Header">
    <w:name w:val="header"/>
    <w:basedOn w:val="Normal"/>
    <w:link w:val="HeaderChar"/>
    <w:uiPriority w:val="99"/>
    <w:unhideWhenUsed/>
    <w:rsid w:val="00A05903"/>
    <w:pPr>
      <w:tabs>
        <w:tab w:val="center" w:pos="4320"/>
        <w:tab w:val="right" w:pos="8640"/>
      </w:tabs>
    </w:pPr>
  </w:style>
  <w:style w:type="character" w:customStyle="1" w:styleId="HeaderChar">
    <w:name w:val="Header Char"/>
    <w:basedOn w:val="DefaultParagraphFont"/>
    <w:link w:val="Header"/>
    <w:uiPriority w:val="99"/>
    <w:rsid w:val="000F3597"/>
    <w:rPr>
      <w:rFonts w:ascii="Calibri" w:hAnsi="Calibri" w:cs="Times New Roman"/>
      <w:sz w:val="20"/>
    </w:rPr>
  </w:style>
  <w:style w:type="paragraph" w:customStyle="1" w:styleId="CoverPageDate">
    <w:name w:val="Cover Page Date"/>
    <w:uiPriority w:val="7"/>
    <w:qFormat/>
    <w:rsid w:val="00A05903"/>
    <w:pPr>
      <w:spacing w:line="216" w:lineRule="auto"/>
      <w:jc w:val="right"/>
    </w:pPr>
    <w:rPr>
      <w:rFonts w:ascii="Calibri" w:hAnsi="Calibri" w:cs="Times New Roman"/>
      <w:color w:val="595959" w:themeColor="text1" w:themeTint="A6"/>
      <w:sz w:val="36"/>
      <w:szCs w:val="28"/>
      <w:lang w:val="en-US"/>
    </w:rPr>
  </w:style>
  <w:style w:type="paragraph" w:customStyle="1" w:styleId="Photo">
    <w:name w:val="Photo"/>
    <w:basedOn w:val="Normal"/>
    <w:link w:val="PhotoChar"/>
    <w:uiPriority w:val="5"/>
    <w:rsid w:val="00A05903"/>
    <w:pPr>
      <w:keepNext/>
      <w:keepLines/>
      <w:spacing w:after="0" w:line="240" w:lineRule="auto"/>
      <w:outlineLvl w:val="1"/>
    </w:pPr>
    <w:rPr>
      <w:rFonts w:eastAsia="Times New Roman"/>
      <w:b/>
      <w:bCs/>
      <w:noProof/>
      <w:color w:val="000000"/>
      <w:sz w:val="24"/>
      <w:szCs w:val="26"/>
      <w:lang w:eastAsia="en-AU"/>
    </w:rPr>
  </w:style>
  <w:style w:type="table" w:customStyle="1" w:styleId="ColorfulGrid1">
    <w:name w:val="Colorful Grid1"/>
    <w:basedOn w:val="TableNormal"/>
    <w:rsid w:val="00A05903"/>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paragraph" w:customStyle="1" w:styleId="Rule">
    <w:name w:val="Rule"/>
    <w:next w:val="Normal"/>
    <w:link w:val="RuleChar"/>
    <w:uiPriority w:val="5"/>
    <w:qFormat/>
    <w:rsid w:val="00A05903"/>
    <w:pPr>
      <w:pBdr>
        <w:bottom w:val="single" w:sz="4" w:space="0" w:color="000000"/>
      </w:pBdr>
      <w:tabs>
        <w:tab w:val="left" w:pos="3594"/>
      </w:tabs>
      <w:spacing w:line="160" w:lineRule="exact"/>
    </w:pPr>
    <w:rPr>
      <w:rFonts w:ascii="Calibri" w:hAnsi="Calibri" w:cs="Times New Roman"/>
      <w:sz w:val="20"/>
    </w:rPr>
  </w:style>
  <w:style w:type="table" w:customStyle="1" w:styleId="Table1">
    <w:name w:val="Table 1"/>
    <w:basedOn w:val="TableNormal"/>
    <w:uiPriority w:val="99"/>
    <w:rsid w:val="00A05903"/>
    <w:pPr>
      <w:widowControl w:val="0"/>
      <w:spacing w:after="360"/>
      <w:ind w:left="108" w:right="108"/>
      <w:contextualSpacing/>
    </w:pPr>
    <w:rPr>
      <w:sz w:val="22"/>
    </w:rPr>
    <w:tblPr>
      <w:tblStyleRowBandSize w:val="1"/>
      <w:tblBorders>
        <w:top w:val="single" w:sz="4" w:space="0" w:color="DD7433"/>
        <w:left w:val="single" w:sz="4" w:space="0" w:color="DD7433"/>
        <w:bottom w:val="single" w:sz="4" w:space="0" w:color="DD7433"/>
        <w:right w:val="single" w:sz="4" w:space="0" w:color="DD7433"/>
        <w:insideH w:val="single" w:sz="6" w:space="0" w:color="DD7433"/>
        <w:insideV w:val="single" w:sz="6" w:space="0" w:color="DD7433"/>
      </w:tblBorders>
      <w:tblCellMar>
        <w:left w:w="0" w:type="dxa"/>
        <w:right w:w="0" w:type="dxa"/>
      </w:tblCellMar>
    </w:tblPr>
    <w:trPr>
      <w:cantSplit/>
    </w:trPr>
    <w:tcPr>
      <w:shd w:val="clear" w:color="auto" w:fill="auto"/>
      <w:vAlign w:val="center"/>
    </w:tcPr>
    <w:tblStylePr w:type="firstRow">
      <w:rPr>
        <w:rFonts w:ascii="Calibri" w:hAnsi="Calibri"/>
        <w:b/>
        <w:color w:val="FFFFFF" w:themeColor="background1"/>
        <w:sz w:val="20"/>
      </w:rPr>
      <w:tblPr/>
      <w:trPr>
        <w:cantSplit w:val="0"/>
        <w:tblHeader/>
      </w:trPr>
      <w:tcPr>
        <w:shd w:val="clear" w:color="auto" w:fill="DD7433"/>
      </w:tcPr>
    </w:tblStylePr>
  </w:style>
  <w:style w:type="paragraph" w:styleId="TOCHeading">
    <w:name w:val="TOC Heading"/>
    <w:basedOn w:val="Heading1"/>
    <w:next w:val="Normal"/>
    <w:uiPriority w:val="39"/>
    <w:unhideWhenUsed/>
    <w:qFormat/>
    <w:rsid w:val="00A05903"/>
    <w:pPr>
      <w:numPr>
        <w:numId w:val="0"/>
      </w:numPr>
      <w:spacing w:before="240" w:line="276" w:lineRule="auto"/>
      <w:contextualSpacing w:val="0"/>
      <w:outlineLvl w:val="9"/>
    </w:pPr>
    <w:rPr>
      <w:rFonts w:asciiTheme="minorHAnsi" w:eastAsiaTheme="majorEastAsia" w:hAnsiTheme="minorHAnsi" w:cstheme="majorBidi"/>
      <w:color w:val="595959" w:themeColor="text1" w:themeTint="A6"/>
      <w:szCs w:val="28"/>
      <w:lang w:val="en-US"/>
    </w:rPr>
  </w:style>
  <w:style w:type="paragraph" w:styleId="TOC1">
    <w:name w:val="toc 1"/>
    <w:basedOn w:val="BodyText"/>
    <w:next w:val="Normal"/>
    <w:uiPriority w:val="39"/>
    <w:qFormat/>
    <w:rsid w:val="00A05903"/>
    <w:pPr>
      <w:tabs>
        <w:tab w:val="left" w:pos="400"/>
        <w:tab w:val="right" w:leader="dot" w:pos="9072"/>
      </w:tabs>
    </w:pPr>
    <w:rPr>
      <w:b/>
      <w:caps/>
    </w:rPr>
  </w:style>
  <w:style w:type="paragraph" w:styleId="TOC2">
    <w:name w:val="toc 2"/>
    <w:basedOn w:val="TOC1"/>
    <w:next w:val="Normal"/>
    <w:autoRedefine/>
    <w:uiPriority w:val="39"/>
    <w:qFormat/>
    <w:rsid w:val="00A05903"/>
    <w:pPr>
      <w:tabs>
        <w:tab w:val="clear" w:pos="400"/>
        <w:tab w:val="left" w:pos="1247"/>
      </w:tabs>
      <w:ind w:left="403"/>
      <w:contextualSpacing/>
    </w:pPr>
    <w:rPr>
      <w:b w:val="0"/>
      <w:caps w:val="0"/>
    </w:rPr>
  </w:style>
  <w:style w:type="paragraph" w:styleId="TOC3">
    <w:name w:val="toc 3"/>
    <w:basedOn w:val="TOC2"/>
    <w:next w:val="Normal"/>
    <w:autoRedefine/>
    <w:uiPriority w:val="39"/>
    <w:qFormat/>
    <w:rsid w:val="00A05903"/>
    <w:pPr>
      <w:tabs>
        <w:tab w:val="clear" w:pos="1247"/>
        <w:tab w:val="left" w:pos="1701"/>
        <w:tab w:val="left" w:pos="1988"/>
      </w:tabs>
      <w:ind w:left="851"/>
    </w:pPr>
    <w:rPr>
      <w:noProof/>
    </w:rPr>
  </w:style>
  <w:style w:type="character" w:styleId="Hyperlink">
    <w:name w:val="Hyperlink"/>
    <w:basedOn w:val="DefaultParagraphFont"/>
    <w:uiPriority w:val="99"/>
    <w:unhideWhenUsed/>
    <w:rsid w:val="00A05903"/>
    <w:rPr>
      <w:color w:val="548DD4" w:themeColor="hyperlink"/>
      <w:u w:val="single"/>
    </w:rPr>
  </w:style>
  <w:style w:type="paragraph" w:styleId="Index9">
    <w:name w:val="index 9"/>
    <w:basedOn w:val="Heading2"/>
    <w:next w:val="Normal"/>
    <w:autoRedefine/>
    <w:uiPriority w:val="99"/>
    <w:rsid w:val="00A05903"/>
    <w:pPr>
      <w:numPr>
        <w:ilvl w:val="0"/>
        <w:numId w:val="0"/>
      </w:numPr>
    </w:pPr>
  </w:style>
  <w:style w:type="paragraph" w:styleId="TOC4">
    <w:name w:val="toc 4"/>
    <w:basedOn w:val="TOC3"/>
    <w:next w:val="Normal"/>
    <w:autoRedefine/>
    <w:uiPriority w:val="39"/>
    <w:rsid w:val="00A05903"/>
    <w:pPr>
      <w:ind w:left="601"/>
    </w:pPr>
  </w:style>
  <w:style w:type="paragraph" w:styleId="Caption">
    <w:name w:val="caption"/>
    <w:next w:val="BodyText"/>
    <w:link w:val="CaptionChar"/>
    <w:uiPriority w:val="5"/>
    <w:qFormat/>
    <w:rsid w:val="00806F5D"/>
    <w:pPr>
      <w:spacing w:before="120" w:after="60"/>
    </w:pPr>
    <w:rPr>
      <w:rFonts w:ascii="Calibri" w:hAnsi="Calibri" w:cs="Times New Roman"/>
      <w:bCs/>
      <w:i/>
      <w:color w:val="404040" w:themeColor="text1" w:themeTint="BF"/>
      <w:sz w:val="22"/>
      <w:szCs w:val="18"/>
    </w:rPr>
  </w:style>
  <w:style w:type="paragraph" w:styleId="ListNumber2">
    <w:name w:val="List Number 2"/>
    <w:basedOn w:val="ListNumber"/>
    <w:link w:val="ListNumber2Char"/>
    <w:uiPriority w:val="3"/>
    <w:rsid w:val="00691616"/>
    <w:pPr>
      <w:numPr>
        <w:ilvl w:val="1"/>
      </w:numPr>
      <w:ind w:left="1134"/>
    </w:pPr>
  </w:style>
  <w:style w:type="paragraph" w:styleId="ListNumber">
    <w:name w:val="List Number"/>
    <w:basedOn w:val="BodyText"/>
    <w:link w:val="ListNumberChar"/>
    <w:uiPriority w:val="3"/>
    <w:rsid w:val="00A05903"/>
    <w:pPr>
      <w:numPr>
        <w:numId w:val="9"/>
      </w:numPr>
      <w:spacing w:before="60"/>
      <w:contextualSpacing/>
    </w:pPr>
  </w:style>
  <w:style w:type="paragraph" w:styleId="ListNumber3">
    <w:name w:val="List Number 3"/>
    <w:basedOn w:val="ListNumber"/>
    <w:link w:val="ListNumber3Char"/>
    <w:uiPriority w:val="3"/>
    <w:rsid w:val="00691616"/>
    <w:pPr>
      <w:numPr>
        <w:ilvl w:val="2"/>
      </w:numPr>
      <w:ind w:left="1560"/>
    </w:pPr>
  </w:style>
  <w:style w:type="paragraph" w:customStyle="1" w:styleId="Heading1-NoNumber">
    <w:name w:val="Heading 1 - No Number"/>
    <w:basedOn w:val="Heading1"/>
    <w:next w:val="BodyText"/>
    <w:link w:val="Heading1-NoNumberChar"/>
    <w:uiPriority w:val="1"/>
    <w:rsid w:val="00A05903"/>
    <w:pPr>
      <w:numPr>
        <w:numId w:val="0"/>
      </w:numPr>
    </w:pPr>
  </w:style>
  <w:style w:type="paragraph" w:styleId="TableofFigures">
    <w:name w:val="table of figures"/>
    <w:basedOn w:val="TOC1"/>
    <w:next w:val="Normal"/>
    <w:uiPriority w:val="99"/>
    <w:rsid w:val="00A05903"/>
    <w:pPr>
      <w:contextualSpacing/>
    </w:pPr>
    <w:rPr>
      <w:b w:val="0"/>
      <w:caps w:val="0"/>
    </w:rPr>
  </w:style>
  <w:style w:type="paragraph" w:styleId="BodyText2">
    <w:name w:val="Body Text 2"/>
    <w:basedOn w:val="BodyText"/>
    <w:link w:val="BodyText2Char"/>
    <w:uiPriority w:val="8"/>
    <w:rsid w:val="00A05903"/>
    <w:rPr>
      <w:sz w:val="20"/>
    </w:rPr>
  </w:style>
  <w:style w:type="character" w:customStyle="1" w:styleId="BodyText2Char">
    <w:name w:val="Body Text 2 Char"/>
    <w:basedOn w:val="DefaultParagraphFont"/>
    <w:link w:val="BodyText2"/>
    <w:uiPriority w:val="8"/>
    <w:rsid w:val="00066AAF"/>
    <w:rPr>
      <w:rFonts w:ascii="Calibri" w:hAnsi="Calibri" w:cs="Times New Roman"/>
      <w:sz w:val="20"/>
    </w:rPr>
  </w:style>
  <w:style w:type="paragraph" w:styleId="BodyText3">
    <w:name w:val="Body Text 3"/>
    <w:basedOn w:val="Normal"/>
    <w:link w:val="BodyText3Char"/>
    <w:uiPriority w:val="8"/>
    <w:rsid w:val="00A05903"/>
    <w:pPr>
      <w:spacing w:after="120"/>
    </w:pPr>
    <w:rPr>
      <w:sz w:val="18"/>
      <w:szCs w:val="16"/>
    </w:rPr>
  </w:style>
  <w:style w:type="character" w:customStyle="1" w:styleId="BodyText3Char">
    <w:name w:val="Body Text 3 Char"/>
    <w:basedOn w:val="DefaultParagraphFont"/>
    <w:link w:val="BodyText3"/>
    <w:uiPriority w:val="8"/>
    <w:rsid w:val="00066AAF"/>
    <w:rPr>
      <w:rFonts w:ascii="Calibri" w:hAnsi="Calibri" w:cs="Times New Roman"/>
      <w:sz w:val="18"/>
      <w:szCs w:val="16"/>
    </w:rPr>
  </w:style>
  <w:style w:type="paragraph" w:customStyle="1" w:styleId="HeaderTextEven">
    <w:name w:val="Header Text Even"/>
    <w:basedOn w:val="HeaderText"/>
    <w:uiPriority w:val="21"/>
    <w:rsid w:val="00A05903"/>
    <w:pPr>
      <w:jc w:val="left"/>
    </w:pPr>
  </w:style>
  <w:style w:type="paragraph" w:customStyle="1" w:styleId="FooterTextEven">
    <w:name w:val="Footer Text Even"/>
    <w:basedOn w:val="FooterTextOdd"/>
    <w:uiPriority w:val="21"/>
    <w:qFormat/>
    <w:rsid w:val="00A05903"/>
    <w:pPr>
      <w:jc w:val="left"/>
    </w:pPr>
  </w:style>
  <w:style w:type="paragraph" w:customStyle="1" w:styleId="Heading2-NoNumber">
    <w:name w:val="Heading 2 - No Number"/>
    <w:basedOn w:val="Heading2"/>
    <w:next w:val="BodyText"/>
    <w:link w:val="Heading2-NoNumberChar"/>
    <w:uiPriority w:val="1"/>
    <w:rsid w:val="00A05903"/>
    <w:pPr>
      <w:numPr>
        <w:ilvl w:val="0"/>
        <w:numId w:val="0"/>
      </w:numPr>
    </w:pPr>
  </w:style>
  <w:style w:type="paragraph" w:styleId="TOC5">
    <w:name w:val="toc 5"/>
    <w:basedOn w:val="Normal"/>
    <w:next w:val="Normal"/>
    <w:autoRedefine/>
    <w:uiPriority w:val="39"/>
    <w:rsid w:val="00A05903"/>
    <w:pPr>
      <w:spacing w:after="100"/>
      <w:ind w:left="800"/>
    </w:pPr>
  </w:style>
  <w:style w:type="paragraph" w:styleId="BalloonText">
    <w:name w:val="Balloon Text"/>
    <w:basedOn w:val="Normal"/>
    <w:link w:val="BalloonTextChar"/>
    <w:uiPriority w:val="99"/>
    <w:semiHidden/>
    <w:unhideWhenUsed/>
    <w:rsid w:val="00A0590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F3597"/>
    <w:rPr>
      <w:rFonts w:ascii="Tahoma" w:hAnsi="Tahoma" w:cs="Tahoma"/>
      <w:sz w:val="16"/>
      <w:szCs w:val="16"/>
    </w:rPr>
  </w:style>
  <w:style w:type="paragraph" w:styleId="BodyTextIndent">
    <w:name w:val="Body Text Indent"/>
    <w:basedOn w:val="Normal"/>
    <w:link w:val="BodyTextIndentChar"/>
    <w:uiPriority w:val="99"/>
    <w:rsid w:val="00A05903"/>
    <w:pPr>
      <w:spacing w:after="120"/>
      <w:ind w:left="283"/>
    </w:pPr>
  </w:style>
  <w:style w:type="character" w:customStyle="1" w:styleId="BodyTextIndentChar">
    <w:name w:val="Body Text Indent Char"/>
    <w:basedOn w:val="DefaultParagraphFont"/>
    <w:link w:val="BodyTextIndent"/>
    <w:uiPriority w:val="99"/>
    <w:rsid w:val="000F3597"/>
    <w:rPr>
      <w:rFonts w:ascii="Calibri" w:hAnsi="Calibri" w:cs="Times New Roman"/>
      <w:sz w:val="20"/>
    </w:rPr>
  </w:style>
  <w:style w:type="paragraph" w:customStyle="1" w:styleId="BodyTextIndent1">
    <w:name w:val="Body Text Indent 1"/>
    <w:link w:val="BodyTextIndent1Char"/>
    <w:uiPriority w:val="3"/>
    <w:rsid w:val="00A05903"/>
    <w:pPr>
      <w:spacing w:before="120"/>
      <w:ind w:left="567"/>
    </w:pPr>
    <w:rPr>
      <w:rFonts w:ascii="Calibri" w:hAnsi="Calibri" w:cs="Times New Roman"/>
      <w:sz w:val="22"/>
    </w:rPr>
  </w:style>
  <w:style w:type="paragraph" w:styleId="BodyTextIndent2">
    <w:name w:val="Body Text Indent 2"/>
    <w:link w:val="BodyTextIndent2Char"/>
    <w:uiPriority w:val="3"/>
    <w:rsid w:val="00A05903"/>
    <w:pPr>
      <w:spacing w:before="120"/>
      <w:ind w:left="1134"/>
    </w:pPr>
    <w:rPr>
      <w:rFonts w:ascii="Calibri" w:hAnsi="Calibri" w:cs="Times New Roman"/>
      <w:sz w:val="22"/>
    </w:rPr>
  </w:style>
  <w:style w:type="character" w:customStyle="1" w:styleId="BodyTextIndent2Char">
    <w:name w:val="Body Text Indent 2 Char"/>
    <w:basedOn w:val="DefaultParagraphFont"/>
    <w:link w:val="BodyTextIndent2"/>
    <w:uiPriority w:val="3"/>
    <w:rsid w:val="00C63857"/>
    <w:rPr>
      <w:rFonts w:ascii="Calibri" w:hAnsi="Calibri" w:cs="Times New Roman"/>
      <w:sz w:val="22"/>
    </w:rPr>
  </w:style>
  <w:style w:type="paragraph" w:styleId="BodyTextIndent3">
    <w:name w:val="Body Text Indent 3"/>
    <w:link w:val="BodyTextIndent3Char"/>
    <w:uiPriority w:val="3"/>
    <w:rsid w:val="00A05903"/>
    <w:pPr>
      <w:spacing w:before="120"/>
      <w:ind w:left="1701"/>
    </w:pPr>
    <w:rPr>
      <w:rFonts w:ascii="Calibri" w:hAnsi="Calibri" w:cs="Times New Roman"/>
      <w:sz w:val="22"/>
      <w:szCs w:val="16"/>
    </w:rPr>
  </w:style>
  <w:style w:type="character" w:customStyle="1" w:styleId="BodyTextIndent3Char">
    <w:name w:val="Body Text Indent 3 Char"/>
    <w:basedOn w:val="DefaultParagraphFont"/>
    <w:link w:val="BodyTextIndent3"/>
    <w:uiPriority w:val="3"/>
    <w:rsid w:val="00C63857"/>
    <w:rPr>
      <w:rFonts w:ascii="Calibri" w:hAnsi="Calibri" w:cs="Times New Roman"/>
      <w:sz w:val="22"/>
      <w:szCs w:val="16"/>
    </w:rPr>
  </w:style>
  <w:style w:type="paragraph" w:customStyle="1" w:styleId="TableHeader">
    <w:name w:val="Table Header"/>
    <w:link w:val="TableHeaderChar"/>
    <w:uiPriority w:val="99"/>
    <w:qFormat/>
    <w:rsid w:val="00261470"/>
    <w:pPr>
      <w:spacing w:before="50" w:after="50"/>
      <w:ind w:left="85" w:right="85"/>
    </w:pPr>
    <w:rPr>
      <w:rFonts w:ascii="Calibri" w:hAnsi="Calibri" w:cs="Times New Roman"/>
      <w:b/>
      <w:color w:val="E36C0A" w:themeColor="accent6"/>
      <w:lang w:eastAsia="en-AU"/>
    </w:rPr>
  </w:style>
  <w:style w:type="paragraph" w:customStyle="1" w:styleId="TableBody">
    <w:name w:val="Table Body"/>
    <w:link w:val="TableBodyChar"/>
    <w:uiPriority w:val="99"/>
    <w:qFormat/>
    <w:rsid w:val="00725CC5"/>
    <w:pPr>
      <w:spacing w:before="50" w:after="50"/>
      <w:ind w:left="85" w:right="85"/>
    </w:pPr>
    <w:rPr>
      <w:rFonts w:ascii="Calibri" w:hAnsi="Calibri" w:cs="Times New Roman"/>
      <w:sz w:val="20"/>
      <w:szCs w:val="20"/>
      <w:lang w:eastAsia="en-AU"/>
    </w:rPr>
  </w:style>
  <w:style w:type="numbering" w:customStyle="1" w:styleId="ListBullets">
    <w:name w:val="ListBullets"/>
    <w:uiPriority w:val="99"/>
    <w:rsid w:val="00A05903"/>
    <w:pPr>
      <w:numPr>
        <w:numId w:val="8"/>
      </w:numPr>
    </w:pPr>
  </w:style>
  <w:style w:type="numbering" w:customStyle="1" w:styleId="ListNumbers">
    <w:name w:val="ListNumbers"/>
    <w:uiPriority w:val="99"/>
    <w:rsid w:val="00A05903"/>
    <w:pPr>
      <w:numPr>
        <w:numId w:val="9"/>
      </w:numPr>
    </w:pPr>
  </w:style>
  <w:style w:type="paragraph" w:styleId="ListBullet">
    <w:name w:val="List Bullet"/>
    <w:link w:val="ListBulletChar"/>
    <w:uiPriority w:val="3"/>
    <w:qFormat/>
    <w:rsid w:val="00AF0095"/>
    <w:pPr>
      <w:numPr>
        <w:numId w:val="8"/>
      </w:numPr>
      <w:spacing w:before="60"/>
      <w:ind w:left="425" w:hanging="425"/>
    </w:pPr>
    <w:rPr>
      <w:rFonts w:ascii="Calibri" w:hAnsi="Calibri" w:cs="Times New Roman"/>
      <w:sz w:val="22"/>
    </w:rPr>
  </w:style>
  <w:style w:type="paragraph" w:styleId="ListBullet2">
    <w:name w:val="List Bullet 2"/>
    <w:basedOn w:val="ListBullet"/>
    <w:link w:val="ListBullet2Char"/>
    <w:uiPriority w:val="3"/>
    <w:qFormat/>
    <w:rsid w:val="00874458"/>
    <w:pPr>
      <w:numPr>
        <w:ilvl w:val="1"/>
        <w:numId w:val="17"/>
      </w:numPr>
      <w:spacing w:after="60"/>
      <w:ind w:left="851" w:hanging="425"/>
    </w:pPr>
  </w:style>
  <w:style w:type="paragraph" w:styleId="ListBullet3">
    <w:name w:val="List Bullet 3"/>
    <w:basedOn w:val="ListBullet"/>
    <w:link w:val="ListBullet3Char"/>
    <w:uiPriority w:val="3"/>
    <w:rsid w:val="00691616"/>
    <w:pPr>
      <w:numPr>
        <w:ilvl w:val="2"/>
      </w:numPr>
      <w:ind w:left="1276"/>
      <w:contextualSpacing/>
    </w:pPr>
  </w:style>
  <w:style w:type="paragraph" w:styleId="ListBullet4">
    <w:name w:val="List Bullet 4"/>
    <w:basedOn w:val="ListBullet"/>
    <w:link w:val="ListBullet4Char"/>
    <w:uiPriority w:val="3"/>
    <w:rsid w:val="00691616"/>
    <w:pPr>
      <w:numPr>
        <w:ilvl w:val="3"/>
      </w:numPr>
      <w:ind w:left="1560" w:hanging="284"/>
      <w:contextualSpacing/>
    </w:pPr>
  </w:style>
  <w:style w:type="paragraph" w:styleId="ListBullet5">
    <w:name w:val="List Bullet 5"/>
    <w:basedOn w:val="ListBullet"/>
    <w:link w:val="ListBullet5Char"/>
    <w:uiPriority w:val="3"/>
    <w:rsid w:val="00691616"/>
    <w:pPr>
      <w:numPr>
        <w:ilvl w:val="4"/>
      </w:numPr>
      <w:ind w:left="1985"/>
      <w:contextualSpacing/>
    </w:pPr>
  </w:style>
  <w:style w:type="character" w:styleId="PlaceholderText">
    <w:name w:val="Placeholder Text"/>
    <w:basedOn w:val="DefaultParagraphFont"/>
    <w:uiPriority w:val="99"/>
    <w:rsid w:val="00A05903"/>
    <w:rPr>
      <w:color w:val="808080"/>
    </w:rPr>
  </w:style>
  <w:style w:type="paragraph" w:styleId="ListNumber4">
    <w:name w:val="List Number 4"/>
    <w:basedOn w:val="ListNumber"/>
    <w:link w:val="ListNumber4Char"/>
    <w:uiPriority w:val="3"/>
    <w:rsid w:val="00691616"/>
    <w:pPr>
      <w:numPr>
        <w:ilvl w:val="3"/>
      </w:numPr>
      <w:ind w:left="1985"/>
    </w:pPr>
  </w:style>
  <w:style w:type="paragraph" w:styleId="ListNumber5">
    <w:name w:val="List Number 5"/>
    <w:basedOn w:val="ListNumber"/>
    <w:link w:val="ListNumber5Char"/>
    <w:uiPriority w:val="3"/>
    <w:rsid w:val="00691616"/>
    <w:pPr>
      <w:numPr>
        <w:ilvl w:val="4"/>
      </w:numPr>
      <w:ind w:left="2410"/>
    </w:pPr>
  </w:style>
  <w:style w:type="paragraph" w:customStyle="1" w:styleId="Heading1-NoTOC">
    <w:name w:val="Heading 1 - No TOC"/>
    <w:uiPriority w:val="99"/>
    <w:qFormat/>
    <w:rsid w:val="00A05903"/>
    <w:pPr>
      <w:pageBreakBefore/>
      <w:pBdr>
        <w:bottom w:val="single" w:sz="4" w:space="1" w:color="E36C0A" w:themeColor="accent1"/>
      </w:pBdr>
      <w:spacing w:after="240"/>
    </w:pPr>
    <w:rPr>
      <w:rFonts w:ascii="Calibri" w:eastAsia="Times New Roman" w:hAnsi="Calibri" w:cs="Times New Roman"/>
      <w:b/>
      <w:bCs/>
      <w:caps/>
      <w:color w:val="DD7433"/>
      <w:sz w:val="36"/>
      <w:szCs w:val="32"/>
    </w:rPr>
  </w:style>
  <w:style w:type="paragraph" w:customStyle="1" w:styleId="Heading-Appendix">
    <w:name w:val="Heading - Appendix"/>
    <w:basedOn w:val="Heading1"/>
    <w:next w:val="BodyText"/>
    <w:link w:val="Heading-AppendixChar"/>
    <w:uiPriority w:val="1"/>
    <w:qFormat/>
    <w:rsid w:val="00C232F8"/>
    <w:pPr>
      <w:numPr>
        <w:numId w:val="4"/>
      </w:numPr>
      <w:ind w:left="68" w:firstLine="0"/>
    </w:pPr>
  </w:style>
  <w:style w:type="paragraph" w:customStyle="1" w:styleId="Heading1-TechSpecs">
    <w:name w:val="Heading 1 - Tech Specs"/>
    <w:next w:val="Heading2-TechSpecs"/>
    <w:link w:val="Heading1-TechSpecsChar"/>
    <w:uiPriority w:val="6"/>
    <w:qFormat/>
    <w:rsid w:val="00A05903"/>
    <w:pPr>
      <w:numPr>
        <w:numId w:val="10"/>
      </w:numPr>
      <w:pBdr>
        <w:bottom w:val="single" w:sz="4" w:space="1" w:color="E36C0A" w:themeColor="accent1"/>
      </w:pBdr>
      <w:tabs>
        <w:tab w:val="left" w:pos="1701"/>
        <w:tab w:val="left" w:pos="1985"/>
      </w:tabs>
      <w:outlineLvl w:val="0"/>
    </w:pPr>
    <w:rPr>
      <w:rFonts w:ascii="Calibri" w:eastAsia="Times New Roman" w:hAnsi="Calibri" w:cs="Times New Roman"/>
      <w:b/>
      <w:bCs/>
      <w:caps/>
      <w:color w:val="DD7433"/>
      <w:sz w:val="28"/>
      <w:szCs w:val="32"/>
    </w:rPr>
  </w:style>
  <w:style w:type="numbering" w:customStyle="1" w:styleId="TechSpecsList">
    <w:name w:val="Tech Specs List"/>
    <w:uiPriority w:val="99"/>
    <w:rsid w:val="00A05903"/>
    <w:pPr>
      <w:numPr>
        <w:numId w:val="1"/>
      </w:numPr>
    </w:pPr>
  </w:style>
  <w:style w:type="paragraph" w:customStyle="1" w:styleId="Heading2-TechSpecs">
    <w:name w:val="Heading 2 - Tech Specs"/>
    <w:next w:val="BodyText-TechSpecs"/>
    <w:link w:val="Heading2-TechSpecsChar"/>
    <w:uiPriority w:val="6"/>
    <w:qFormat/>
    <w:rsid w:val="00824612"/>
    <w:pPr>
      <w:numPr>
        <w:ilvl w:val="1"/>
        <w:numId w:val="5"/>
      </w:numPr>
      <w:spacing w:before="240"/>
      <w:ind w:left="567" w:hanging="567"/>
      <w:outlineLvl w:val="1"/>
    </w:pPr>
    <w:rPr>
      <w:rFonts w:ascii="Calibri" w:eastAsia="Times New Roman" w:hAnsi="Calibri" w:cs="Times New Roman"/>
      <w:b/>
      <w:szCs w:val="26"/>
    </w:rPr>
  </w:style>
  <w:style w:type="paragraph" w:customStyle="1" w:styleId="Heading3-TechSpecs">
    <w:name w:val="Heading 3 - Tech Specs"/>
    <w:basedOn w:val="Heading3"/>
    <w:next w:val="BodyText-TechSpecs"/>
    <w:link w:val="Heading3-TechSpecsChar"/>
    <w:uiPriority w:val="6"/>
    <w:qFormat/>
    <w:rsid w:val="00824612"/>
    <w:pPr>
      <w:numPr>
        <w:numId w:val="10"/>
      </w:numPr>
      <w:tabs>
        <w:tab w:val="clear" w:pos="1701"/>
      </w:tabs>
      <w:ind w:hanging="567"/>
    </w:pPr>
    <w:rPr>
      <w:sz w:val="22"/>
    </w:rPr>
  </w:style>
  <w:style w:type="paragraph" w:customStyle="1" w:styleId="BodyText-TechSpecs">
    <w:name w:val="Body Text - Tech Specs"/>
    <w:link w:val="BodyText-TechSpecsChar"/>
    <w:uiPriority w:val="7"/>
    <w:qFormat/>
    <w:rsid w:val="00A05903"/>
    <w:pPr>
      <w:spacing w:before="120"/>
      <w:ind w:left="1134" w:hanging="1134"/>
    </w:pPr>
    <w:rPr>
      <w:rFonts w:ascii="Calibri" w:hAnsi="Calibri" w:cs="Times New Roman"/>
      <w:sz w:val="22"/>
    </w:rPr>
  </w:style>
  <w:style w:type="paragraph" w:customStyle="1" w:styleId="Bullets-TechSpecs">
    <w:name w:val="Bullets - Tech Specs"/>
    <w:link w:val="Bullets-TechSpecsChar"/>
    <w:uiPriority w:val="7"/>
    <w:qFormat/>
    <w:rsid w:val="007F6ABD"/>
    <w:pPr>
      <w:numPr>
        <w:numId w:val="3"/>
      </w:numPr>
      <w:spacing w:before="30" w:after="30"/>
      <w:ind w:left="341" w:hanging="284"/>
    </w:pPr>
    <w:rPr>
      <w:rFonts w:ascii="Calibri" w:hAnsi="Calibri" w:cs="Times New Roman"/>
      <w:sz w:val="20"/>
    </w:rPr>
  </w:style>
  <w:style w:type="character" w:customStyle="1" w:styleId="ListBulletChar">
    <w:name w:val="List Bullet Char"/>
    <w:basedOn w:val="BodyTextChar"/>
    <w:link w:val="ListBullet"/>
    <w:uiPriority w:val="3"/>
    <w:rsid w:val="00AF0095"/>
    <w:rPr>
      <w:rFonts w:ascii="Calibri" w:hAnsi="Calibri" w:cs="Times New Roman"/>
      <w:sz w:val="22"/>
    </w:rPr>
  </w:style>
  <w:style w:type="character" w:customStyle="1" w:styleId="ListBullet2Char">
    <w:name w:val="List Bullet 2 Char"/>
    <w:basedOn w:val="ListBulletChar"/>
    <w:link w:val="ListBullet2"/>
    <w:uiPriority w:val="3"/>
    <w:rsid w:val="00874458"/>
    <w:rPr>
      <w:rFonts w:ascii="Calibri" w:hAnsi="Calibri" w:cs="Times New Roman"/>
      <w:sz w:val="22"/>
    </w:rPr>
  </w:style>
  <w:style w:type="character" w:customStyle="1" w:styleId="ListBullet3Char">
    <w:name w:val="List Bullet 3 Char"/>
    <w:basedOn w:val="ListBulletChar"/>
    <w:link w:val="ListBullet3"/>
    <w:uiPriority w:val="3"/>
    <w:rsid w:val="00691616"/>
    <w:rPr>
      <w:rFonts w:ascii="Calibri" w:hAnsi="Calibri" w:cs="Times New Roman"/>
      <w:sz w:val="22"/>
    </w:rPr>
  </w:style>
  <w:style w:type="character" w:customStyle="1" w:styleId="ListBullet4Char">
    <w:name w:val="List Bullet 4 Char"/>
    <w:basedOn w:val="ListBulletChar"/>
    <w:link w:val="ListBullet4"/>
    <w:uiPriority w:val="3"/>
    <w:rsid w:val="00691616"/>
    <w:rPr>
      <w:rFonts w:ascii="Calibri" w:hAnsi="Calibri" w:cs="Times New Roman"/>
      <w:sz w:val="22"/>
    </w:rPr>
  </w:style>
  <w:style w:type="character" w:customStyle="1" w:styleId="ListBullet5Char">
    <w:name w:val="List Bullet 5 Char"/>
    <w:basedOn w:val="ListBulletChar"/>
    <w:link w:val="ListBullet5"/>
    <w:uiPriority w:val="3"/>
    <w:rsid w:val="00691616"/>
    <w:rPr>
      <w:rFonts w:ascii="Calibri" w:hAnsi="Calibri" w:cs="Times New Roman"/>
      <w:sz w:val="22"/>
    </w:rPr>
  </w:style>
  <w:style w:type="character" w:customStyle="1" w:styleId="ListNumberChar">
    <w:name w:val="List Number Char"/>
    <w:basedOn w:val="BodyTextChar"/>
    <w:link w:val="ListNumber"/>
    <w:uiPriority w:val="3"/>
    <w:rsid w:val="00C63857"/>
    <w:rPr>
      <w:rFonts w:ascii="Calibri" w:hAnsi="Calibri" w:cs="Times New Roman"/>
      <w:sz w:val="22"/>
    </w:rPr>
  </w:style>
  <w:style w:type="character" w:customStyle="1" w:styleId="ListNumber2Char">
    <w:name w:val="List Number 2 Char"/>
    <w:basedOn w:val="ListNumberChar"/>
    <w:link w:val="ListNumber2"/>
    <w:uiPriority w:val="3"/>
    <w:rsid w:val="00691616"/>
    <w:rPr>
      <w:rFonts w:ascii="Calibri" w:hAnsi="Calibri" w:cs="Times New Roman"/>
      <w:sz w:val="22"/>
    </w:rPr>
  </w:style>
  <w:style w:type="character" w:customStyle="1" w:styleId="ListNumber3Char">
    <w:name w:val="List Number 3 Char"/>
    <w:basedOn w:val="ListNumberChar"/>
    <w:link w:val="ListNumber3"/>
    <w:uiPriority w:val="3"/>
    <w:rsid w:val="00691616"/>
    <w:rPr>
      <w:rFonts w:ascii="Calibri" w:hAnsi="Calibri" w:cs="Times New Roman"/>
      <w:sz w:val="22"/>
    </w:rPr>
  </w:style>
  <w:style w:type="character" w:customStyle="1" w:styleId="ListNumber4Char">
    <w:name w:val="List Number 4 Char"/>
    <w:basedOn w:val="ListNumberChar"/>
    <w:link w:val="ListNumber4"/>
    <w:uiPriority w:val="3"/>
    <w:rsid w:val="00691616"/>
    <w:rPr>
      <w:rFonts w:ascii="Calibri" w:hAnsi="Calibri" w:cs="Times New Roman"/>
      <w:sz w:val="22"/>
    </w:rPr>
  </w:style>
  <w:style w:type="character" w:customStyle="1" w:styleId="ListNumber5Char">
    <w:name w:val="List Number 5 Char"/>
    <w:basedOn w:val="ListNumberChar"/>
    <w:link w:val="ListNumber5"/>
    <w:uiPriority w:val="3"/>
    <w:rsid w:val="00691616"/>
    <w:rPr>
      <w:rFonts w:ascii="Calibri" w:hAnsi="Calibri" w:cs="Times New Roman"/>
      <w:sz w:val="22"/>
    </w:rPr>
  </w:style>
  <w:style w:type="character" w:customStyle="1" w:styleId="Heading-AppendixChar">
    <w:name w:val="Heading - Appendix Char"/>
    <w:basedOn w:val="Heading1Char"/>
    <w:link w:val="Heading-Appendix"/>
    <w:uiPriority w:val="1"/>
    <w:rsid w:val="00C232F8"/>
    <w:rPr>
      <w:rFonts w:ascii="Calibri" w:eastAsia="Times New Roman" w:hAnsi="Calibri" w:cs="Times New Roman"/>
      <w:b/>
      <w:bCs/>
      <w:caps/>
      <w:color w:val="DD7433"/>
      <w:sz w:val="36"/>
      <w:szCs w:val="32"/>
    </w:rPr>
  </w:style>
  <w:style w:type="character" w:customStyle="1" w:styleId="Heading1-NoNumberChar">
    <w:name w:val="Heading 1 - No Number Char"/>
    <w:basedOn w:val="Heading1Char"/>
    <w:link w:val="Heading1-NoNumber"/>
    <w:uiPriority w:val="1"/>
    <w:rsid w:val="00C63857"/>
    <w:rPr>
      <w:rFonts w:ascii="Calibri" w:eastAsia="Times New Roman" w:hAnsi="Calibri" w:cs="Times New Roman"/>
      <w:b/>
      <w:bCs/>
      <w:caps/>
      <w:color w:val="DD7433"/>
      <w:sz w:val="36"/>
      <w:szCs w:val="32"/>
    </w:rPr>
  </w:style>
  <w:style w:type="character" w:customStyle="1" w:styleId="Heading2-NoNumberChar">
    <w:name w:val="Heading 2 - No Number Char"/>
    <w:basedOn w:val="Heading2Char"/>
    <w:link w:val="Heading2-NoNumber"/>
    <w:uiPriority w:val="1"/>
    <w:rsid w:val="00C63857"/>
    <w:rPr>
      <w:rFonts w:ascii="Calibri" w:eastAsia="Times New Roman" w:hAnsi="Calibri" w:cs="Times New Roman"/>
      <w:b/>
      <w:sz w:val="28"/>
      <w:szCs w:val="26"/>
    </w:rPr>
  </w:style>
  <w:style w:type="character" w:customStyle="1" w:styleId="Heading1-TechSpecsChar">
    <w:name w:val="Heading 1 - Tech Specs Char"/>
    <w:basedOn w:val="DefaultParagraphFont"/>
    <w:link w:val="Heading1-TechSpecs"/>
    <w:uiPriority w:val="6"/>
    <w:rsid w:val="00D51B3D"/>
    <w:rPr>
      <w:rFonts w:ascii="Calibri" w:eastAsia="Times New Roman" w:hAnsi="Calibri" w:cs="Times New Roman"/>
      <w:b/>
      <w:bCs/>
      <w:caps/>
      <w:color w:val="DD7433"/>
      <w:sz w:val="28"/>
      <w:szCs w:val="32"/>
    </w:rPr>
  </w:style>
  <w:style w:type="character" w:customStyle="1" w:styleId="Heading2-TechSpecsChar">
    <w:name w:val="Heading 2 - Tech Specs Char"/>
    <w:basedOn w:val="DefaultParagraphFont"/>
    <w:link w:val="Heading2-TechSpecs"/>
    <w:uiPriority w:val="6"/>
    <w:rsid w:val="00824612"/>
    <w:rPr>
      <w:rFonts w:ascii="Calibri" w:eastAsia="Times New Roman" w:hAnsi="Calibri" w:cs="Times New Roman"/>
      <w:b/>
      <w:szCs w:val="26"/>
    </w:rPr>
  </w:style>
  <w:style w:type="character" w:customStyle="1" w:styleId="Heading3-TechSpecsChar">
    <w:name w:val="Heading 3 - Tech Specs Char"/>
    <w:basedOn w:val="Heading3Char"/>
    <w:link w:val="Heading3-TechSpecs"/>
    <w:uiPriority w:val="6"/>
    <w:rsid w:val="00824612"/>
    <w:rPr>
      <w:rFonts w:ascii="Calibri" w:eastAsia="Times New Roman" w:hAnsi="Calibri" w:cs="Times New Roman"/>
      <w:b/>
      <w:bCs/>
      <w:color w:val="000000"/>
      <w:sz w:val="22"/>
      <w:szCs w:val="26"/>
    </w:rPr>
  </w:style>
  <w:style w:type="character" w:customStyle="1" w:styleId="BodyText-TechSpecsChar">
    <w:name w:val="Body Text - Tech Specs Char"/>
    <w:basedOn w:val="DefaultParagraphFont"/>
    <w:link w:val="BodyText-TechSpecs"/>
    <w:uiPriority w:val="7"/>
    <w:rsid w:val="00B51F62"/>
    <w:rPr>
      <w:rFonts w:ascii="Calibri" w:hAnsi="Calibri" w:cs="Times New Roman"/>
      <w:sz w:val="22"/>
    </w:rPr>
  </w:style>
  <w:style w:type="character" w:customStyle="1" w:styleId="Bullets-TechSpecsChar">
    <w:name w:val="Bullets - Tech Specs Char"/>
    <w:basedOn w:val="DefaultParagraphFont"/>
    <w:link w:val="Bullets-TechSpecs"/>
    <w:uiPriority w:val="7"/>
    <w:rsid w:val="007F6ABD"/>
    <w:rPr>
      <w:rFonts w:ascii="Calibri" w:hAnsi="Calibri" w:cs="Times New Roman"/>
      <w:sz w:val="20"/>
    </w:rPr>
  </w:style>
  <w:style w:type="character" w:customStyle="1" w:styleId="TableHeaderChar">
    <w:name w:val="Table Header Char"/>
    <w:basedOn w:val="DefaultParagraphFont"/>
    <w:link w:val="TableHeader"/>
    <w:uiPriority w:val="99"/>
    <w:rsid w:val="00261470"/>
    <w:rPr>
      <w:rFonts w:ascii="Calibri" w:hAnsi="Calibri" w:cs="Times New Roman"/>
      <w:b/>
      <w:color w:val="E36C0A" w:themeColor="accent6"/>
      <w:lang w:eastAsia="en-AU"/>
    </w:rPr>
  </w:style>
  <w:style w:type="character" w:customStyle="1" w:styleId="TableBodyChar">
    <w:name w:val="Table Body Char"/>
    <w:basedOn w:val="DefaultParagraphFont"/>
    <w:link w:val="TableBody"/>
    <w:uiPriority w:val="99"/>
    <w:rsid w:val="00725CC5"/>
    <w:rPr>
      <w:rFonts w:ascii="Calibri" w:hAnsi="Calibri" w:cs="Times New Roman"/>
      <w:sz w:val="20"/>
      <w:szCs w:val="20"/>
      <w:lang w:eastAsia="en-AU"/>
    </w:rPr>
  </w:style>
  <w:style w:type="character" w:customStyle="1" w:styleId="CaptionChar">
    <w:name w:val="Caption Char"/>
    <w:basedOn w:val="DefaultParagraphFont"/>
    <w:link w:val="Caption"/>
    <w:uiPriority w:val="5"/>
    <w:rsid w:val="00806F5D"/>
    <w:rPr>
      <w:rFonts w:ascii="Calibri" w:hAnsi="Calibri" w:cs="Times New Roman"/>
      <w:bCs/>
      <w:i/>
      <w:color w:val="404040" w:themeColor="text1" w:themeTint="BF"/>
      <w:sz w:val="22"/>
      <w:szCs w:val="18"/>
    </w:rPr>
  </w:style>
  <w:style w:type="character" w:customStyle="1" w:styleId="PhotoChar">
    <w:name w:val="Photo Char"/>
    <w:basedOn w:val="DefaultParagraphFont"/>
    <w:link w:val="Photo"/>
    <w:uiPriority w:val="5"/>
    <w:rsid w:val="00B51F62"/>
    <w:rPr>
      <w:rFonts w:ascii="Calibri" w:eastAsia="Times New Roman" w:hAnsi="Calibri" w:cs="Times New Roman"/>
      <w:b/>
      <w:bCs/>
      <w:noProof/>
      <w:color w:val="000000"/>
      <w:szCs w:val="26"/>
      <w:lang w:eastAsia="en-AU"/>
    </w:rPr>
  </w:style>
  <w:style w:type="character" w:customStyle="1" w:styleId="PicturesChar">
    <w:name w:val="Pictures Char"/>
    <w:basedOn w:val="DefaultParagraphFont"/>
    <w:link w:val="Pictures"/>
    <w:uiPriority w:val="5"/>
    <w:rsid w:val="00B51F62"/>
    <w:rPr>
      <w:rFonts w:ascii="Calibri" w:eastAsia="Times New Roman" w:hAnsi="Calibri" w:cs="Times New Roman"/>
      <w:b/>
      <w:bCs/>
      <w:noProof/>
      <w:color w:val="000000"/>
      <w:lang w:eastAsia="en-AU"/>
    </w:rPr>
  </w:style>
  <w:style w:type="character" w:customStyle="1" w:styleId="RuleChar">
    <w:name w:val="Rule Char"/>
    <w:basedOn w:val="DefaultParagraphFont"/>
    <w:link w:val="Rule"/>
    <w:uiPriority w:val="5"/>
    <w:rsid w:val="00B51F62"/>
    <w:rPr>
      <w:rFonts w:ascii="Calibri" w:hAnsi="Calibri" w:cs="Times New Roman"/>
      <w:sz w:val="20"/>
    </w:rPr>
  </w:style>
  <w:style w:type="paragraph" w:customStyle="1" w:styleId="Controlformtableheader">
    <w:name w:val="Control form table header"/>
    <w:basedOn w:val="Normal"/>
    <w:link w:val="ControlformtableheaderChar"/>
    <w:uiPriority w:val="99"/>
    <w:qFormat/>
    <w:rsid w:val="00806F5D"/>
    <w:rPr>
      <w:b/>
      <w:color w:val="E36C0A" w:themeColor="accent1"/>
      <w:sz w:val="24"/>
      <w:lang w:eastAsia="en-AU"/>
    </w:rPr>
  </w:style>
  <w:style w:type="character" w:customStyle="1" w:styleId="ControlformtableheaderChar">
    <w:name w:val="Control form table header Char"/>
    <w:basedOn w:val="DefaultParagraphFont"/>
    <w:link w:val="Controlformtableheader"/>
    <w:uiPriority w:val="99"/>
    <w:rsid w:val="00806F5D"/>
    <w:rPr>
      <w:rFonts w:ascii="Calibri" w:hAnsi="Calibri" w:cs="Times New Roman"/>
      <w:b/>
      <w:color w:val="E36C0A" w:themeColor="accent1"/>
      <w:lang w:eastAsia="en-AU"/>
    </w:rPr>
  </w:style>
  <w:style w:type="character" w:styleId="CommentReference">
    <w:name w:val="annotation reference"/>
    <w:basedOn w:val="DefaultParagraphFont"/>
    <w:uiPriority w:val="99"/>
    <w:semiHidden/>
    <w:unhideWhenUsed/>
    <w:rsid w:val="00633DB8"/>
    <w:rPr>
      <w:sz w:val="16"/>
      <w:szCs w:val="16"/>
    </w:rPr>
  </w:style>
  <w:style w:type="paragraph" w:styleId="CommentText">
    <w:name w:val="annotation text"/>
    <w:basedOn w:val="Normal"/>
    <w:link w:val="CommentTextChar"/>
    <w:uiPriority w:val="99"/>
    <w:semiHidden/>
    <w:unhideWhenUsed/>
    <w:rsid w:val="00633DB8"/>
    <w:pPr>
      <w:spacing w:line="240" w:lineRule="auto"/>
    </w:pPr>
    <w:rPr>
      <w:szCs w:val="20"/>
    </w:rPr>
  </w:style>
  <w:style w:type="character" w:customStyle="1" w:styleId="CommentTextChar">
    <w:name w:val="Comment Text Char"/>
    <w:basedOn w:val="DefaultParagraphFont"/>
    <w:link w:val="CommentText"/>
    <w:uiPriority w:val="99"/>
    <w:semiHidden/>
    <w:rsid w:val="00633DB8"/>
    <w:rPr>
      <w:rFonts w:ascii="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633DB8"/>
    <w:rPr>
      <w:b/>
      <w:bCs/>
    </w:rPr>
  </w:style>
  <w:style w:type="character" w:customStyle="1" w:styleId="CommentSubjectChar">
    <w:name w:val="Comment Subject Char"/>
    <w:basedOn w:val="CommentTextChar"/>
    <w:link w:val="CommentSubject"/>
    <w:uiPriority w:val="99"/>
    <w:semiHidden/>
    <w:rsid w:val="00633DB8"/>
    <w:rPr>
      <w:rFonts w:ascii="Calibri" w:hAnsi="Calibri" w:cs="Times New Roman"/>
      <w:b/>
      <w:bCs/>
      <w:sz w:val="20"/>
      <w:szCs w:val="20"/>
    </w:rPr>
  </w:style>
  <w:style w:type="paragraph" w:styleId="FootnoteText">
    <w:name w:val="footnote text"/>
    <w:basedOn w:val="Normal"/>
    <w:link w:val="FootnoteTextChar"/>
    <w:uiPriority w:val="99"/>
    <w:semiHidden/>
    <w:unhideWhenUsed/>
    <w:rsid w:val="004E6F0D"/>
    <w:pPr>
      <w:spacing w:after="0" w:line="240" w:lineRule="auto"/>
    </w:pPr>
    <w:rPr>
      <w:szCs w:val="20"/>
    </w:rPr>
  </w:style>
  <w:style w:type="character" w:customStyle="1" w:styleId="FootnoteTextChar">
    <w:name w:val="Footnote Text Char"/>
    <w:basedOn w:val="DefaultParagraphFont"/>
    <w:link w:val="FootnoteText"/>
    <w:uiPriority w:val="99"/>
    <w:semiHidden/>
    <w:rsid w:val="004E6F0D"/>
    <w:rPr>
      <w:rFonts w:ascii="Calibri" w:hAnsi="Calibri" w:cs="Times New Roman"/>
      <w:sz w:val="20"/>
      <w:szCs w:val="20"/>
    </w:rPr>
  </w:style>
  <w:style w:type="character" w:styleId="FootnoteReference">
    <w:name w:val="footnote reference"/>
    <w:basedOn w:val="DefaultParagraphFont"/>
    <w:uiPriority w:val="99"/>
    <w:semiHidden/>
    <w:unhideWhenUsed/>
    <w:rsid w:val="004E6F0D"/>
    <w:rPr>
      <w:vertAlign w:val="superscript"/>
    </w:rPr>
  </w:style>
  <w:style w:type="character" w:styleId="FollowedHyperlink">
    <w:name w:val="FollowedHyperlink"/>
    <w:basedOn w:val="DefaultParagraphFont"/>
    <w:uiPriority w:val="99"/>
    <w:semiHidden/>
    <w:unhideWhenUsed/>
    <w:rsid w:val="00EA16F0"/>
    <w:rPr>
      <w:color w:val="B2A2C7" w:themeColor="followedHyperlink"/>
      <w:u w:val="single"/>
    </w:rPr>
  </w:style>
  <w:style w:type="paragraph" w:styleId="Revision">
    <w:name w:val="Revision"/>
    <w:hidden/>
    <w:uiPriority w:val="99"/>
    <w:semiHidden/>
    <w:rsid w:val="00E51B43"/>
    <w:rPr>
      <w:rFonts w:ascii="Calibri" w:hAnsi="Calibri" w:cs="Times New Roman"/>
      <w:sz w:val="20"/>
    </w:rPr>
  </w:style>
  <w:style w:type="paragraph" w:styleId="DocumentMap">
    <w:name w:val="Document Map"/>
    <w:basedOn w:val="Normal"/>
    <w:link w:val="DocumentMapChar"/>
    <w:uiPriority w:val="99"/>
    <w:semiHidden/>
    <w:unhideWhenUsed/>
    <w:rsid w:val="00E51B43"/>
    <w:pPr>
      <w:spacing w:after="0" w:line="240" w:lineRule="auto"/>
    </w:pPr>
    <w:rPr>
      <w:rFonts w:ascii="Lucida Grande" w:hAnsi="Lucida Grande" w:cs="Lucida Grande"/>
      <w:sz w:val="24"/>
    </w:rPr>
  </w:style>
  <w:style w:type="character" w:customStyle="1" w:styleId="DocumentMapChar">
    <w:name w:val="Document Map Char"/>
    <w:basedOn w:val="DefaultParagraphFont"/>
    <w:link w:val="DocumentMap"/>
    <w:uiPriority w:val="99"/>
    <w:semiHidden/>
    <w:rsid w:val="00E51B43"/>
    <w:rPr>
      <w:rFonts w:ascii="Lucida Grande" w:hAnsi="Lucida Grande" w:cs="Lucida Grande"/>
    </w:rPr>
  </w:style>
  <w:style w:type="paragraph" w:customStyle="1" w:styleId="Bullet">
    <w:name w:val="Bullet"/>
    <w:basedOn w:val="Normal"/>
    <w:link w:val="BulletChar"/>
    <w:qFormat/>
    <w:rsid w:val="00416535"/>
    <w:pPr>
      <w:numPr>
        <w:numId w:val="19"/>
      </w:numPr>
      <w:spacing w:after="120" w:line="276" w:lineRule="auto"/>
      <w:ind w:left="567"/>
      <w:jc w:val="both"/>
    </w:pPr>
    <w:rPr>
      <w:rFonts w:ascii="Arial" w:eastAsia="Times New Roman" w:hAnsi="Arial" w:cs="Arial"/>
      <w:sz w:val="22"/>
      <w:szCs w:val="22"/>
    </w:rPr>
  </w:style>
  <w:style w:type="character" w:customStyle="1" w:styleId="BulletChar">
    <w:name w:val="Bullet Char"/>
    <w:basedOn w:val="DefaultParagraphFont"/>
    <w:link w:val="Bullet"/>
    <w:rsid w:val="00416535"/>
    <w:rPr>
      <w:rFonts w:ascii="Arial" w:eastAsia="Times New Roman" w:hAnsi="Arial" w:cs="Arial"/>
      <w:sz w:val="22"/>
      <w:szCs w:val="22"/>
    </w:rPr>
  </w:style>
  <w:style w:type="paragraph" w:customStyle="1" w:styleId="Paragraph">
    <w:name w:val="Paragraph"/>
    <w:basedOn w:val="Normal"/>
    <w:qFormat/>
    <w:rsid w:val="00416535"/>
    <w:pPr>
      <w:spacing w:after="240" w:line="276" w:lineRule="auto"/>
      <w:jc w:val="both"/>
    </w:pPr>
    <w:rPr>
      <w:rFonts w:ascii="Arial" w:eastAsiaTheme="minorHAnsi" w:hAnsi="Arial"/>
      <w:sz w:val="22"/>
      <w:szCs w:val="22"/>
      <w:lang w:eastAsia="en-AU"/>
    </w:rPr>
  </w:style>
  <w:style w:type="paragraph" w:customStyle="1" w:styleId="SMENORMALStyle2">
    <w:name w:val="SMENORMAL Style2"/>
    <w:basedOn w:val="Normal"/>
    <w:link w:val="SMENORMALStyle2Char"/>
    <w:rsid w:val="00416535"/>
    <w:pPr>
      <w:spacing w:after="120" w:line="276" w:lineRule="auto"/>
      <w:jc w:val="both"/>
    </w:pPr>
    <w:rPr>
      <w:rFonts w:ascii="Arial" w:eastAsia="Times New Roman" w:hAnsi="Arial" w:cs="Arial"/>
      <w:sz w:val="22"/>
      <w:szCs w:val="22"/>
    </w:rPr>
  </w:style>
  <w:style w:type="character" w:customStyle="1" w:styleId="SMENORMALStyle2Char">
    <w:name w:val="SMENORMAL Style2 Char"/>
    <w:basedOn w:val="DefaultParagraphFont"/>
    <w:link w:val="SMENORMALStyle2"/>
    <w:rsid w:val="00416535"/>
    <w:rPr>
      <w:rFonts w:ascii="Arial" w:eastAsia="Times New Roman" w:hAnsi="Arial" w:cs="Arial"/>
      <w:sz w:val="22"/>
      <w:szCs w:val="22"/>
    </w:rPr>
  </w:style>
  <w:style w:type="paragraph" w:customStyle="1" w:styleId="Tabletext">
    <w:name w:val="Table text"/>
    <w:basedOn w:val="Normal"/>
    <w:qFormat/>
    <w:rsid w:val="00D878D3"/>
    <w:pPr>
      <w:spacing w:before="120" w:after="120" w:line="240" w:lineRule="auto"/>
    </w:pPr>
    <w:rPr>
      <w:rFonts w:ascii="Arial" w:eastAsiaTheme="minorEastAsia" w:hAnsi="Arial" w:cstheme="minorHAnsi"/>
      <w:color w:val="595959"/>
      <w:szCs w:val="20"/>
      <w:lang w:eastAsia="en-AU"/>
    </w:rPr>
  </w:style>
  <w:style w:type="paragraph" w:customStyle="1" w:styleId="Subheading">
    <w:name w:val="Subheading"/>
    <w:uiPriority w:val="99"/>
    <w:qFormat/>
    <w:rsid w:val="005613AC"/>
    <w:pPr>
      <w:keepNext/>
      <w:spacing w:before="240"/>
    </w:pPr>
    <w:rPr>
      <w:rFonts w:eastAsiaTheme="majorEastAsia" w:cstheme="majorBidi"/>
      <w:b/>
      <w:i/>
      <w:iCs/>
      <w:color w:val="000000"/>
      <w:sz w:val="22"/>
      <w:szCs w:val="26"/>
    </w:rPr>
  </w:style>
  <w:style w:type="paragraph" w:styleId="Bibliography">
    <w:name w:val="Bibliography"/>
    <w:basedOn w:val="Normal"/>
    <w:next w:val="Normal"/>
    <w:uiPriority w:val="99"/>
    <w:semiHidden/>
    <w:unhideWhenUsed/>
    <w:rsid w:val="00BD0147"/>
  </w:style>
  <w:style w:type="paragraph" w:styleId="BlockText">
    <w:name w:val="Block Text"/>
    <w:basedOn w:val="Normal"/>
    <w:uiPriority w:val="99"/>
    <w:semiHidden/>
    <w:unhideWhenUsed/>
    <w:rsid w:val="00BD0147"/>
    <w:pPr>
      <w:pBdr>
        <w:top w:val="single" w:sz="2" w:space="10" w:color="E36C0A" w:themeColor="accent1" w:shadow="1"/>
        <w:left w:val="single" w:sz="2" w:space="10" w:color="E36C0A" w:themeColor="accent1" w:shadow="1"/>
        <w:bottom w:val="single" w:sz="2" w:space="10" w:color="E36C0A" w:themeColor="accent1" w:shadow="1"/>
        <w:right w:val="single" w:sz="2" w:space="10" w:color="E36C0A" w:themeColor="accent1" w:shadow="1"/>
      </w:pBdr>
      <w:ind w:left="1152" w:right="1152"/>
    </w:pPr>
    <w:rPr>
      <w:rFonts w:asciiTheme="minorHAnsi" w:eastAsiaTheme="minorEastAsia" w:hAnsiTheme="minorHAnsi" w:cstheme="minorBidi"/>
      <w:i/>
      <w:iCs/>
      <w:color w:val="E36C0A" w:themeColor="accent1"/>
    </w:rPr>
  </w:style>
  <w:style w:type="paragraph" w:styleId="BodyTextFirstIndent">
    <w:name w:val="Body Text First Indent"/>
    <w:basedOn w:val="BodyText"/>
    <w:link w:val="BodyTextFirstIndentChar"/>
    <w:uiPriority w:val="99"/>
    <w:rsid w:val="00BD0147"/>
    <w:pPr>
      <w:spacing w:before="0" w:after="112" w:line="240" w:lineRule="exact"/>
      <w:ind w:firstLine="360"/>
    </w:pPr>
    <w:rPr>
      <w:sz w:val="20"/>
    </w:rPr>
  </w:style>
  <w:style w:type="character" w:customStyle="1" w:styleId="BodyTextFirstIndentChar">
    <w:name w:val="Body Text First Indent Char"/>
    <w:basedOn w:val="BodyTextChar"/>
    <w:link w:val="BodyTextFirstIndent"/>
    <w:uiPriority w:val="99"/>
    <w:rsid w:val="00BD0147"/>
    <w:rPr>
      <w:rFonts w:ascii="Calibri" w:hAnsi="Calibri" w:cs="Times New Roman"/>
      <w:sz w:val="20"/>
    </w:rPr>
  </w:style>
  <w:style w:type="paragraph" w:styleId="BodyTextFirstIndent2">
    <w:name w:val="Body Text First Indent 2"/>
    <w:basedOn w:val="BodyTextIndent"/>
    <w:link w:val="BodyTextFirstIndent2Char"/>
    <w:uiPriority w:val="99"/>
    <w:semiHidden/>
    <w:unhideWhenUsed/>
    <w:rsid w:val="00BD0147"/>
    <w:pPr>
      <w:spacing w:after="112"/>
      <w:ind w:left="360" w:firstLine="360"/>
    </w:pPr>
  </w:style>
  <w:style w:type="character" w:customStyle="1" w:styleId="BodyTextFirstIndent2Char">
    <w:name w:val="Body Text First Indent 2 Char"/>
    <w:basedOn w:val="BodyTextIndentChar"/>
    <w:link w:val="BodyTextFirstIndent2"/>
    <w:uiPriority w:val="99"/>
    <w:semiHidden/>
    <w:rsid w:val="00BD0147"/>
    <w:rPr>
      <w:rFonts w:ascii="Calibri" w:hAnsi="Calibri" w:cs="Times New Roman"/>
      <w:sz w:val="20"/>
    </w:rPr>
  </w:style>
  <w:style w:type="paragraph" w:styleId="Closing">
    <w:name w:val="Closing"/>
    <w:basedOn w:val="Normal"/>
    <w:link w:val="ClosingChar"/>
    <w:uiPriority w:val="99"/>
    <w:semiHidden/>
    <w:unhideWhenUsed/>
    <w:rsid w:val="00BD0147"/>
    <w:pPr>
      <w:spacing w:after="0" w:line="240" w:lineRule="auto"/>
      <w:ind w:left="4252"/>
    </w:pPr>
  </w:style>
  <w:style w:type="character" w:customStyle="1" w:styleId="ClosingChar">
    <w:name w:val="Closing Char"/>
    <w:basedOn w:val="DefaultParagraphFont"/>
    <w:link w:val="Closing"/>
    <w:uiPriority w:val="99"/>
    <w:semiHidden/>
    <w:rsid w:val="00BD0147"/>
    <w:rPr>
      <w:rFonts w:ascii="Calibri" w:hAnsi="Calibri" w:cs="Times New Roman"/>
      <w:sz w:val="20"/>
    </w:rPr>
  </w:style>
  <w:style w:type="paragraph" w:styleId="Date">
    <w:name w:val="Date"/>
    <w:basedOn w:val="Normal"/>
    <w:next w:val="Normal"/>
    <w:link w:val="DateChar"/>
    <w:uiPriority w:val="99"/>
    <w:semiHidden/>
    <w:unhideWhenUsed/>
    <w:rsid w:val="00BD0147"/>
  </w:style>
  <w:style w:type="character" w:customStyle="1" w:styleId="DateChar">
    <w:name w:val="Date Char"/>
    <w:basedOn w:val="DefaultParagraphFont"/>
    <w:link w:val="Date"/>
    <w:uiPriority w:val="99"/>
    <w:semiHidden/>
    <w:rsid w:val="00BD0147"/>
    <w:rPr>
      <w:rFonts w:ascii="Calibri" w:hAnsi="Calibri" w:cs="Times New Roman"/>
      <w:sz w:val="20"/>
    </w:rPr>
  </w:style>
  <w:style w:type="paragraph" w:styleId="E-mailSignature">
    <w:name w:val="E-mail Signature"/>
    <w:basedOn w:val="Normal"/>
    <w:link w:val="E-mailSignatureChar"/>
    <w:uiPriority w:val="99"/>
    <w:semiHidden/>
    <w:unhideWhenUsed/>
    <w:rsid w:val="00BD0147"/>
    <w:pPr>
      <w:spacing w:after="0" w:line="240" w:lineRule="auto"/>
    </w:pPr>
  </w:style>
  <w:style w:type="character" w:customStyle="1" w:styleId="E-mailSignatureChar">
    <w:name w:val="E-mail Signature Char"/>
    <w:basedOn w:val="DefaultParagraphFont"/>
    <w:link w:val="E-mailSignature"/>
    <w:uiPriority w:val="99"/>
    <w:semiHidden/>
    <w:rsid w:val="00BD0147"/>
    <w:rPr>
      <w:rFonts w:ascii="Calibri" w:hAnsi="Calibri" w:cs="Times New Roman"/>
      <w:sz w:val="20"/>
    </w:rPr>
  </w:style>
  <w:style w:type="paragraph" w:styleId="EndnoteText">
    <w:name w:val="endnote text"/>
    <w:basedOn w:val="Normal"/>
    <w:link w:val="EndnoteTextChar"/>
    <w:uiPriority w:val="99"/>
    <w:semiHidden/>
    <w:unhideWhenUsed/>
    <w:rsid w:val="00BD0147"/>
    <w:pPr>
      <w:spacing w:after="0" w:line="240" w:lineRule="auto"/>
    </w:pPr>
    <w:rPr>
      <w:szCs w:val="20"/>
    </w:rPr>
  </w:style>
  <w:style w:type="character" w:customStyle="1" w:styleId="EndnoteTextChar">
    <w:name w:val="Endnote Text Char"/>
    <w:basedOn w:val="DefaultParagraphFont"/>
    <w:link w:val="EndnoteText"/>
    <w:uiPriority w:val="99"/>
    <w:semiHidden/>
    <w:rsid w:val="00BD0147"/>
    <w:rPr>
      <w:rFonts w:ascii="Calibri" w:hAnsi="Calibri" w:cs="Times New Roman"/>
      <w:sz w:val="20"/>
      <w:szCs w:val="20"/>
    </w:rPr>
  </w:style>
  <w:style w:type="paragraph" w:styleId="EnvelopeAddress">
    <w:name w:val="envelope address"/>
    <w:basedOn w:val="Normal"/>
    <w:uiPriority w:val="99"/>
    <w:semiHidden/>
    <w:unhideWhenUsed/>
    <w:rsid w:val="00BD0147"/>
    <w:pPr>
      <w:framePr w:w="7920" w:h="1980" w:hRule="exact" w:hSpace="180" w:wrap="auto" w:hAnchor="page" w:xAlign="center" w:yAlign="bottom"/>
      <w:spacing w:after="0" w:line="240" w:lineRule="auto"/>
      <w:ind w:left="2880"/>
    </w:pPr>
    <w:rPr>
      <w:rFonts w:asciiTheme="majorHAnsi" w:eastAsiaTheme="majorEastAsia" w:hAnsiTheme="majorHAnsi" w:cstheme="majorBidi"/>
      <w:sz w:val="24"/>
    </w:rPr>
  </w:style>
  <w:style w:type="paragraph" w:styleId="EnvelopeReturn">
    <w:name w:val="envelope return"/>
    <w:basedOn w:val="Normal"/>
    <w:uiPriority w:val="99"/>
    <w:semiHidden/>
    <w:unhideWhenUsed/>
    <w:rsid w:val="00BD0147"/>
    <w:pPr>
      <w:spacing w:after="0" w:line="240" w:lineRule="auto"/>
    </w:pPr>
    <w:rPr>
      <w:rFonts w:asciiTheme="majorHAnsi" w:eastAsiaTheme="majorEastAsia" w:hAnsiTheme="majorHAnsi" w:cstheme="majorBidi"/>
      <w:szCs w:val="20"/>
    </w:rPr>
  </w:style>
  <w:style w:type="character" w:customStyle="1" w:styleId="Heading5Char">
    <w:name w:val="Heading 5 Char"/>
    <w:basedOn w:val="DefaultParagraphFont"/>
    <w:link w:val="Heading5"/>
    <w:uiPriority w:val="99"/>
    <w:semiHidden/>
    <w:rsid w:val="00BD0147"/>
    <w:rPr>
      <w:rFonts w:asciiTheme="majorHAnsi" w:eastAsiaTheme="majorEastAsia" w:hAnsiTheme="majorHAnsi" w:cstheme="majorBidi"/>
      <w:color w:val="703505" w:themeColor="accent1" w:themeShade="7F"/>
      <w:sz w:val="20"/>
    </w:rPr>
  </w:style>
  <w:style w:type="character" w:customStyle="1" w:styleId="Heading6Char">
    <w:name w:val="Heading 6 Char"/>
    <w:basedOn w:val="DefaultParagraphFont"/>
    <w:link w:val="Heading6"/>
    <w:uiPriority w:val="99"/>
    <w:semiHidden/>
    <w:rsid w:val="00BD0147"/>
    <w:rPr>
      <w:rFonts w:asciiTheme="majorHAnsi" w:eastAsiaTheme="majorEastAsia" w:hAnsiTheme="majorHAnsi" w:cstheme="majorBidi"/>
      <w:i/>
      <w:iCs/>
      <w:color w:val="703505" w:themeColor="accent1" w:themeShade="7F"/>
      <w:sz w:val="20"/>
    </w:rPr>
  </w:style>
  <w:style w:type="character" w:customStyle="1" w:styleId="Heading7Char">
    <w:name w:val="Heading 7 Char"/>
    <w:basedOn w:val="DefaultParagraphFont"/>
    <w:link w:val="Heading7"/>
    <w:uiPriority w:val="99"/>
    <w:semiHidden/>
    <w:rsid w:val="00BD0147"/>
    <w:rPr>
      <w:rFonts w:asciiTheme="majorHAnsi" w:eastAsiaTheme="majorEastAsia" w:hAnsiTheme="majorHAnsi" w:cstheme="majorBidi"/>
      <w:i/>
      <w:iCs/>
      <w:color w:val="404040" w:themeColor="text1" w:themeTint="BF"/>
      <w:sz w:val="20"/>
    </w:rPr>
  </w:style>
  <w:style w:type="character" w:customStyle="1" w:styleId="Heading8Char">
    <w:name w:val="Heading 8 Char"/>
    <w:basedOn w:val="DefaultParagraphFont"/>
    <w:link w:val="Heading8"/>
    <w:uiPriority w:val="99"/>
    <w:semiHidden/>
    <w:rsid w:val="00BD0147"/>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9"/>
    <w:semiHidden/>
    <w:rsid w:val="00BD0147"/>
    <w:rPr>
      <w:rFonts w:asciiTheme="majorHAnsi" w:eastAsiaTheme="majorEastAsia" w:hAnsiTheme="majorHAnsi" w:cstheme="majorBidi"/>
      <w:i/>
      <w:iCs/>
      <w:color w:val="404040" w:themeColor="text1" w:themeTint="BF"/>
      <w:sz w:val="20"/>
      <w:szCs w:val="20"/>
    </w:rPr>
  </w:style>
  <w:style w:type="paragraph" w:styleId="HTMLAddress">
    <w:name w:val="HTML Address"/>
    <w:basedOn w:val="Normal"/>
    <w:link w:val="HTMLAddressChar"/>
    <w:uiPriority w:val="99"/>
    <w:semiHidden/>
    <w:unhideWhenUsed/>
    <w:rsid w:val="00BD0147"/>
    <w:pPr>
      <w:spacing w:after="0" w:line="240" w:lineRule="auto"/>
    </w:pPr>
    <w:rPr>
      <w:i/>
      <w:iCs/>
    </w:rPr>
  </w:style>
  <w:style w:type="character" w:customStyle="1" w:styleId="HTMLAddressChar">
    <w:name w:val="HTML Address Char"/>
    <w:basedOn w:val="DefaultParagraphFont"/>
    <w:link w:val="HTMLAddress"/>
    <w:uiPriority w:val="99"/>
    <w:semiHidden/>
    <w:rsid w:val="00BD0147"/>
    <w:rPr>
      <w:rFonts w:ascii="Calibri" w:hAnsi="Calibri" w:cs="Times New Roman"/>
      <w:i/>
      <w:iCs/>
      <w:sz w:val="20"/>
    </w:rPr>
  </w:style>
  <w:style w:type="paragraph" w:styleId="HTMLPreformatted">
    <w:name w:val="HTML Preformatted"/>
    <w:basedOn w:val="Normal"/>
    <w:link w:val="HTMLPreformattedChar"/>
    <w:uiPriority w:val="99"/>
    <w:semiHidden/>
    <w:unhideWhenUsed/>
    <w:rsid w:val="00BD0147"/>
    <w:pPr>
      <w:spacing w:after="0" w:line="240" w:lineRule="auto"/>
    </w:pPr>
    <w:rPr>
      <w:rFonts w:ascii="Consolas" w:hAnsi="Consolas"/>
      <w:szCs w:val="20"/>
    </w:rPr>
  </w:style>
  <w:style w:type="character" w:customStyle="1" w:styleId="HTMLPreformattedChar">
    <w:name w:val="HTML Preformatted Char"/>
    <w:basedOn w:val="DefaultParagraphFont"/>
    <w:link w:val="HTMLPreformatted"/>
    <w:uiPriority w:val="99"/>
    <w:semiHidden/>
    <w:rsid w:val="00BD0147"/>
    <w:rPr>
      <w:rFonts w:ascii="Consolas" w:hAnsi="Consolas" w:cs="Times New Roman"/>
      <w:sz w:val="20"/>
      <w:szCs w:val="20"/>
    </w:rPr>
  </w:style>
  <w:style w:type="paragraph" w:styleId="Index1">
    <w:name w:val="index 1"/>
    <w:basedOn w:val="Normal"/>
    <w:next w:val="Normal"/>
    <w:autoRedefine/>
    <w:uiPriority w:val="99"/>
    <w:semiHidden/>
    <w:unhideWhenUsed/>
    <w:rsid w:val="00BD0147"/>
    <w:pPr>
      <w:spacing w:after="0" w:line="240" w:lineRule="auto"/>
      <w:ind w:left="200" w:hanging="200"/>
    </w:pPr>
  </w:style>
  <w:style w:type="paragraph" w:styleId="Index2">
    <w:name w:val="index 2"/>
    <w:basedOn w:val="Normal"/>
    <w:next w:val="Normal"/>
    <w:autoRedefine/>
    <w:uiPriority w:val="99"/>
    <w:semiHidden/>
    <w:unhideWhenUsed/>
    <w:rsid w:val="00BD0147"/>
    <w:pPr>
      <w:spacing w:after="0" w:line="240" w:lineRule="auto"/>
      <w:ind w:left="400" w:hanging="200"/>
    </w:pPr>
  </w:style>
  <w:style w:type="paragraph" w:styleId="Index3">
    <w:name w:val="index 3"/>
    <w:basedOn w:val="Normal"/>
    <w:next w:val="Normal"/>
    <w:autoRedefine/>
    <w:uiPriority w:val="99"/>
    <w:semiHidden/>
    <w:unhideWhenUsed/>
    <w:rsid w:val="00BD0147"/>
    <w:pPr>
      <w:spacing w:after="0" w:line="240" w:lineRule="auto"/>
      <w:ind w:left="600" w:hanging="200"/>
    </w:pPr>
  </w:style>
  <w:style w:type="paragraph" w:styleId="Index4">
    <w:name w:val="index 4"/>
    <w:basedOn w:val="Normal"/>
    <w:next w:val="Normal"/>
    <w:autoRedefine/>
    <w:uiPriority w:val="99"/>
    <w:semiHidden/>
    <w:unhideWhenUsed/>
    <w:rsid w:val="00BD0147"/>
    <w:pPr>
      <w:spacing w:after="0" w:line="240" w:lineRule="auto"/>
      <w:ind w:left="800" w:hanging="200"/>
    </w:pPr>
  </w:style>
  <w:style w:type="paragraph" w:styleId="Index5">
    <w:name w:val="index 5"/>
    <w:basedOn w:val="Normal"/>
    <w:next w:val="Normal"/>
    <w:autoRedefine/>
    <w:uiPriority w:val="99"/>
    <w:semiHidden/>
    <w:unhideWhenUsed/>
    <w:rsid w:val="00BD0147"/>
    <w:pPr>
      <w:spacing w:after="0" w:line="240" w:lineRule="auto"/>
      <w:ind w:left="1000" w:hanging="200"/>
    </w:pPr>
  </w:style>
  <w:style w:type="paragraph" w:styleId="Index6">
    <w:name w:val="index 6"/>
    <w:basedOn w:val="Normal"/>
    <w:next w:val="Normal"/>
    <w:autoRedefine/>
    <w:uiPriority w:val="99"/>
    <w:semiHidden/>
    <w:unhideWhenUsed/>
    <w:rsid w:val="00BD0147"/>
    <w:pPr>
      <w:spacing w:after="0" w:line="240" w:lineRule="auto"/>
      <w:ind w:left="1200" w:hanging="200"/>
    </w:pPr>
  </w:style>
  <w:style w:type="paragraph" w:styleId="Index7">
    <w:name w:val="index 7"/>
    <w:basedOn w:val="Normal"/>
    <w:next w:val="Normal"/>
    <w:autoRedefine/>
    <w:uiPriority w:val="99"/>
    <w:semiHidden/>
    <w:unhideWhenUsed/>
    <w:rsid w:val="00BD0147"/>
    <w:pPr>
      <w:spacing w:after="0" w:line="240" w:lineRule="auto"/>
      <w:ind w:left="1400" w:hanging="200"/>
    </w:pPr>
  </w:style>
  <w:style w:type="paragraph" w:styleId="Index8">
    <w:name w:val="index 8"/>
    <w:basedOn w:val="Normal"/>
    <w:next w:val="Normal"/>
    <w:autoRedefine/>
    <w:uiPriority w:val="99"/>
    <w:semiHidden/>
    <w:unhideWhenUsed/>
    <w:rsid w:val="00BD0147"/>
    <w:pPr>
      <w:spacing w:after="0" w:line="240" w:lineRule="auto"/>
      <w:ind w:left="1600" w:hanging="200"/>
    </w:pPr>
  </w:style>
  <w:style w:type="paragraph" w:styleId="IndexHeading">
    <w:name w:val="index heading"/>
    <w:basedOn w:val="Normal"/>
    <w:next w:val="Index1"/>
    <w:uiPriority w:val="99"/>
    <w:semiHidden/>
    <w:unhideWhenUsed/>
    <w:rsid w:val="00BD0147"/>
    <w:rPr>
      <w:rFonts w:asciiTheme="majorHAnsi" w:eastAsiaTheme="majorEastAsia" w:hAnsiTheme="majorHAnsi" w:cstheme="majorBidi"/>
      <w:b/>
      <w:bCs/>
    </w:rPr>
  </w:style>
  <w:style w:type="paragraph" w:styleId="IntenseQuote">
    <w:name w:val="Intense Quote"/>
    <w:basedOn w:val="Normal"/>
    <w:next w:val="Normal"/>
    <w:link w:val="IntenseQuoteChar"/>
    <w:uiPriority w:val="99"/>
    <w:rsid w:val="00BD0147"/>
    <w:pPr>
      <w:pBdr>
        <w:bottom w:val="single" w:sz="4" w:space="4" w:color="E36C0A" w:themeColor="accent1"/>
      </w:pBdr>
      <w:spacing w:before="200" w:after="280"/>
      <w:ind w:left="936" w:right="936"/>
    </w:pPr>
    <w:rPr>
      <w:b/>
      <w:bCs/>
      <w:i/>
      <w:iCs/>
      <w:color w:val="E36C0A" w:themeColor="accent1"/>
    </w:rPr>
  </w:style>
  <w:style w:type="character" w:customStyle="1" w:styleId="IntenseQuoteChar">
    <w:name w:val="Intense Quote Char"/>
    <w:basedOn w:val="DefaultParagraphFont"/>
    <w:link w:val="IntenseQuote"/>
    <w:uiPriority w:val="99"/>
    <w:rsid w:val="00BD0147"/>
    <w:rPr>
      <w:rFonts w:ascii="Calibri" w:hAnsi="Calibri" w:cs="Times New Roman"/>
      <w:b/>
      <w:bCs/>
      <w:i/>
      <w:iCs/>
      <w:color w:val="E36C0A" w:themeColor="accent1"/>
      <w:sz w:val="20"/>
    </w:rPr>
  </w:style>
  <w:style w:type="paragraph" w:styleId="List">
    <w:name w:val="List"/>
    <w:basedOn w:val="Normal"/>
    <w:uiPriority w:val="99"/>
    <w:semiHidden/>
    <w:unhideWhenUsed/>
    <w:rsid w:val="00BD0147"/>
    <w:pPr>
      <w:ind w:left="283" w:hanging="283"/>
      <w:contextualSpacing/>
    </w:pPr>
  </w:style>
  <w:style w:type="paragraph" w:styleId="List2">
    <w:name w:val="List 2"/>
    <w:basedOn w:val="Normal"/>
    <w:uiPriority w:val="99"/>
    <w:semiHidden/>
    <w:unhideWhenUsed/>
    <w:rsid w:val="00BD0147"/>
    <w:pPr>
      <w:ind w:left="566" w:hanging="283"/>
      <w:contextualSpacing/>
    </w:pPr>
  </w:style>
  <w:style w:type="paragraph" w:styleId="List3">
    <w:name w:val="List 3"/>
    <w:basedOn w:val="Normal"/>
    <w:uiPriority w:val="99"/>
    <w:semiHidden/>
    <w:unhideWhenUsed/>
    <w:rsid w:val="00BD0147"/>
    <w:pPr>
      <w:ind w:left="849" w:hanging="283"/>
      <w:contextualSpacing/>
    </w:pPr>
  </w:style>
  <w:style w:type="paragraph" w:styleId="List4">
    <w:name w:val="List 4"/>
    <w:basedOn w:val="Normal"/>
    <w:uiPriority w:val="99"/>
    <w:rsid w:val="00BD0147"/>
    <w:pPr>
      <w:ind w:left="1132" w:hanging="283"/>
      <w:contextualSpacing/>
    </w:pPr>
  </w:style>
  <w:style w:type="paragraph" w:styleId="List5">
    <w:name w:val="List 5"/>
    <w:basedOn w:val="Normal"/>
    <w:uiPriority w:val="99"/>
    <w:rsid w:val="00BD0147"/>
    <w:pPr>
      <w:ind w:left="1415" w:hanging="283"/>
      <w:contextualSpacing/>
    </w:pPr>
  </w:style>
  <w:style w:type="paragraph" w:styleId="ListContinue">
    <w:name w:val="List Continue"/>
    <w:basedOn w:val="Normal"/>
    <w:uiPriority w:val="99"/>
    <w:semiHidden/>
    <w:unhideWhenUsed/>
    <w:rsid w:val="00BD0147"/>
    <w:pPr>
      <w:spacing w:after="120"/>
      <w:ind w:left="283"/>
      <w:contextualSpacing/>
    </w:pPr>
  </w:style>
  <w:style w:type="paragraph" w:styleId="ListContinue2">
    <w:name w:val="List Continue 2"/>
    <w:basedOn w:val="Normal"/>
    <w:uiPriority w:val="99"/>
    <w:semiHidden/>
    <w:unhideWhenUsed/>
    <w:rsid w:val="00BD0147"/>
    <w:pPr>
      <w:spacing w:after="120"/>
      <w:ind w:left="566"/>
      <w:contextualSpacing/>
    </w:pPr>
  </w:style>
  <w:style w:type="paragraph" w:styleId="ListContinue3">
    <w:name w:val="List Continue 3"/>
    <w:basedOn w:val="Normal"/>
    <w:uiPriority w:val="99"/>
    <w:semiHidden/>
    <w:unhideWhenUsed/>
    <w:rsid w:val="00BD0147"/>
    <w:pPr>
      <w:spacing w:after="120"/>
      <w:ind w:left="849"/>
      <w:contextualSpacing/>
    </w:pPr>
  </w:style>
  <w:style w:type="paragraph" w:styleId="ListContinue4">
    <w:name w:val="List Continue 4"/>
    <w:basedOn w:val="Normal"/>
    <w:uiPriority w:val="99"/>
    <w:semiHidden/>
    <w:unhideWhenUsed/>
    <w:rsid w:val="00BD0147"/>
    <w:pPr>
      <w:spacing w:after="120"/>
      <w:ind w:left="1132"/>
      <w:contextualSpacing/>
    </w:pPr>
  </w:style>
  <w:style w:type="paragraph" w:styleId="ListContinue5">
    <w:name w:val="List Continue 5"/>
    <w:basedOn w:val="Normal"/>
    <w:uiPriority w:val="99"/>
    <w:semiHidden/>
    <w:unhideWhenUsed/>
    <w:rsid w:val="00BD0147"/>
    <w:pPr>
      <w:spacing w:after="120"/>
      <w:ind w:left="1415"/>
      <w:contextualSpacing/>
    </w:pPr>
  </w:style>
  <w:style w:type="paragraph" w:styleId="ListParagraph">
    <w:name w:val="List Paragraph"/>
    <w:basedOn w:val="Normal"/>
    <w:uiPriority w:val="99"/>
    <w:rsid w:val="00BD0147"/>
    <w:pPr>
      <w:ind w:left="720"/>
      <w:contextualSpacing/>
    </w:pPr>
  </w:style>
  <w:style w:type="paragraph" w:styleId="MacroText">
    <w:name w:val="macro"/>
    <w:link w:val="MacroTextChar"/>
    <w:uiPriority w:val="99"/>
    <w:semiHidden/>
    <w:unhideWhenUsed/>
    <w:rsid w:val="00BD0147"/>
    <w:pPr>
      <w:tabs>
        <w:tab w:val="left" w:pos="480"/>
        <w:tab w:val="left" w:pos="960"/>
        <w:tab w:val="left" w:pos="1440"/>
        <w:tab w:val="left" w:pos="1920"/>
        <w:tab w:val="left" w:pos="2400"/>
        <w:tab w:val="left" w:pos="2880"/>
        <w:tab w:val="left" w:pos="3360"/>
        <w:tab w:val="left" w:pos="3840"/>
        <w:tab w:val="left" w:pos="4320"/>
      </w:tabs>
      <w:spacing w:line="240" w:lineRule="exact"/>
    </w:pPr>
    <w:rPr>
      <w:rFonts w:ascii="Consolas" w:hAnsi="Consolas" w:cs="Times New Roman"/>
      <w:sz w:val="20"/>
      <w:szCs w:val="20"/>
    </w:rPr>
  </w:style>
  <w:style w:type="character" w:customStyle="1" w:styleId="MacroTextChar">
    <w:name w:val="Macro Text Char"/>
    <w:basedOn w:val="DefaultParagraphFont"/>
    <w:link w:val="MacroText"/>
    <w:uiPriority w:val="99"/>
    <w:semiHidden/>
    <w:rsid w:val="00BD0147"/>
    <w:rPr>
      <w:rFonts w:ascii="Consolas" w:hAnsi="Consolas" w:cs="Times New Roman"/>
      <w:sz w:val="20"/>
      <w:szCs w:val="20"/>
    </w:rPr>
  </w:style>
  <w:style w:type="paragraph" w:styleId="MessageHeader">
    <w:name w:val="Message Header"/>
    <w:basedOn w:val="Normal"/>
    <w:link w:val="MessageHeaderChar"/>
    <w:uiPriority w:val="99"/>
    <w:semiHidden/>
    <w:unhideWhenUsed/>
    <w:rsid w:val="00BD0147"/>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rPr>
  </w:style>
  <w:style w:type="character" w:customStyle="1" w:styleId="MessageHeaderChar">
    <w:name w:val="Message Header Char"/>
    <w:basedOn w:val="DefaultParagraphFont"/>
    <w:link w:val="MessageHeader"/>
    <w:uiPriority w:val="99"/>
    <w:semiHidden/>
    <w:rsid w:val="00BD0147"/>
    <w:rPr>
      <w:rFonts w:asciiTheme="majorHAnsi" w:eastAsiaTheme="majorEastAsia" w:hAnsiTheme="majorHAnsi" w:cstheme="majorBidi"/>
      <w:shd w:val="pct20" w:color="auto" w:fill="auto"/>
    </w:rPr>
  </w:style>
  <w:style w:type="paragraph" w:styleId="NoSpacing">
    <w:name w:val="No Spacing"/>
    <w:uiPriority w:val="99"/>
    <w:rsid w:val="00BD0147"/>
    <w:rPr>
      <w:rFonts w:ascii="Calibri" w:hAnsi="Calibri" w:cs="Times New Roman"/>
      <w:sz w:val="20"/>
    </w:rPr>
  </w:style>
  <w:style w:type="paragraph" w:styleId="NormalWeb">
    <w:name w:val="Normal (Web)"/>
    <w:basedOn w:val="Normal"/>
    <w:uiPriority w:val="99"/>
    <w:semiHidden/>
    <w:unhideWhenUsed/>
    <w:rsid w:val="00BD0147"/>
    <w:rPr>
      <w:rFonts w:ascii="Times New Roman" w:hAnsi="Times New Roman"/>
      <w:sz w:val="24"/>
    </w:rPr>
  </w:style>
  <w:style w:type="paragraph" w:styleId="NormalIndent">
    <w:name w:val="Normal Indent"/>
    <w:basedOn w:val="Normal"/>
    <w:uiPriority w:val="99"/>
    <w:semiHidden/>
    <w:unhideWhenUsed/>
    <w:rsid w:val="00BD0147"/>
    <w:pPr>
      <w:ind w:left="720"/>
    </w:pPr>
  </w:style>
  <w:style w:type="paragraph" w:styleId="NoteHeading">
    <w:name w:val="Note Heading"/>
    <w:basedOn w:val="Normal"/>
    <w:next w:val="Normal"/>
    <w:link w:val="NoteHeadingChar"/>
    <w:uiPriority w:val="99"/>
    <w:semiHidden/>
    <w:unhideWhenUsed/>
    <w:rsid w:val="00BD0147"/>
    <w:pPr>
      <w:spacing w:after="0" w:line="240" w:lineRule="auto"/>
    </w:pPr>
  </w:style>
  <w:style w:type="character" w:customStyle="1" w:styleId="NoteHeadingChar">
    <w:name w:val="Note Heading Char"/>
    <w:basedOn w:val="DefaultParagraphFont"/>
    <w:link w:val="NoteHeading"/>
    <w:uiPriority w:val="99"/>
    <w:semiHidden/>
    <w:rsid w:val="00BD0147"/>
    <w:rPr>
      <w:rFonts w:ascii="Calibri" w:hAnsi="Calibri" w:cs="Times New Roman"/>
      <w:sz w:val="20"/>
    </w:rPr>
  </w:style>
  <w:style w:type="paragraph" w:styleId="PlainText">
    <w:name w:val="Plain Text"/>
    <w:basedOn w:val="Normal"/>
    <w:link w:val="PlainTextChar"/>
    <w:uiPriority w:val="99"/>
    <w:semiHidden/>
    <w:unhideWhenUsed/>
    <w:rsid w:val="00BD0147"/>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BD0147"/>
    <w:rPr>
      <w:rFonts w:ascii="Consolas" w:hAnsi="Consolas" w:cs="Times New Roman"/>
      <w:sz w:val="21"/>
      <w:szCs w:val="21"/>
    </w:rPr>
  </w:style>
  <w:style w:type="paragraph" w:styleId="Quote">
    <w:name w:val="Quote"/>
    <w:basedOn w:val="Normal"/>
    <w:next w:val="Normal"/>
    <w:link w:val="QuoteChar"/>
    <w:uiPriority w:val="99"/>
    <w:rsid w:val="00BD0147"/>
    <w:rPr>
      <w:i/>
      <w:iCs/>
      <w:color w:val="000000" w:themeColor="text1"/>
    </w:rPr>
  </w:style>
  <w:style w:type="character" w:customStyle="1" w:styleId="QuoteChar">
    <w:name w:val="Quote Char"/>
    <w:basedOn w:val="DefaultParagraphFont"/>
    <w:link w:val="Quote"/>
    <w:uiPriority w:val="99"/>
    <w:rsid w:val="00BD0147"/>
    <w:rPr>
      <w:rFonts w:ascii="Calibri" w:hAnsi="Calibri" w:cs="Times New Roman"/>
      <w:i/>
      <w:iCs/>
      <w:color w:val="000000" w:themeColor="text1"/>
      <w:sz w:val="20"/>
    </w:rPr>
  </w:style>
  <w:style w:type="paragraph" w:styleId="Salutation">
    <w:name w:val="Salutation"/>
    <w:basedOn w:val="Normal"/>
    <w:next w:val="Normal"/>
    <w:link w:val="SalutationChar"/>
    <w:uiPriority w:val="99"/>
    <w:rsid w:val="00BD0147"/>
  </w:style>
  <w:style w:type="character" w:customStyle="1" w:styleId="SalutationChar">
    <w:name w:val="Salutation Char"/>
    <w:basedOn w:val="DefaultParagraphFont"/>
    <w:link w:val="Salutation"/>
    <w:uiPriority w:val="99"/>
    <w:rsid w:val="00BD0147"/>
    <w:rPr>
      <w:rFonts w:ascii="Calibri" w:hAnsi="Calibri" w:cs="Times New Roman"/>
      <w:sz w:val="20"/>
    </w:rPr>
  </w:style>
  <w:style w:type="paragraph" w:styleId="Signature">
    <w:name w:val="Signature"/>
    <w:basedOn w:val="Normal"/>
    <w:link w:val="SignatureChar"/>
    <w:uiPriority w:val="99"/>
    <w:semiHidden/>
    <w:unhideWhenUsed/>
    <w:rsid w:val="00BD0147"/>
    <w:pPr>
      <w:spacing w:after="0" w:line="240" w:lineRule="auto"/>
      <w:ind w:left="4252"/>
    </w:pPr>
  </w:style>
  <w:style w:type="character" w:customStyle="1" w:styleId="SignatureChar">
    <w:name w:val="Signature Char"/>
    <w:basedOn w:val="DefaultParagraphFont"/>
    <w:link w:val="Signature"/>
    <w:uiPriority w:val="99"/>
    <w:semiHidden/>
    <w:rsid w:val="00BD0147"/>
    <w:rPr>
      <w:rFonts w:ascii="Calibri" w:hAnsi="Calibri" w:cs="Times New Roman"/>
      <w:sz w:val="20"/>
    </w:rPr>
  </w:style>
  <w:style w:type="paragraph" w:styleId="Subtitle">
    <w:name w:val="Subtitle"/>
    <w:basedOn w:val="Normal"/>
    <w:next w:val="Normal"/>
    <w:link w:val="SubtitleChar"/>
    <w:uiPriority w:val="99"/>
    <w:rsid w:val="00BD0147"/>
    <w:pPr>
      <w:numPr>
        <w:ilvl w:val="1"/>
      </w:numPr>
    </w:pPr>
    <w:rPr>
      <w:rFonts w:asciiTheme="majorHAnsi" w:eastAsiaTheme="majorEastAsia" w:hAnsiTheme="majorHAnsi" w:cstheme="majorBidi"/>
      <w:i/>
      <w:iCs/>
      <w:color w:val="E36C0A" w:themeColor="accent1"/>
      <w:spacing w:val="15"/>
      <w:sz w:val="24"/>
    </w:rPr>
  </w:style>
  <w:style w:type="character" w:customStyle="1" w:styleId="SubtitleChar">
    <w:name w:val="Subtitle Char"/>
    <w:basedOn w:val="DefaultParagraphFont"/>
    <w:link w:val="Subtitle"/>
    <w:uiPriority w:val="99"/>
    <w:rsid w:val="00BD0147"/>
    <w:rPr>
      <w:rFonts w:asciiTheme="majorHAnsi" w:eastAsiaTheme="majorEastAsia" w:hAnsiTheme="majorHAnsi" w:cstheme="majorBidi"/>
      <w:i/>
      <w:iCs/>
      <w:color w:val="E36C0A" w:themeColor="accent1"/>
      <w:spacing w:val="15"/>
    </w:rPr>
  </w:style>
  <w:style w:type="paragraph" w:styleId="TableofAuthorities">
    <w:name w:val="table of authorities"/>
    <w:basedOn w:val="Normal"/>
    <w:next w:val="Normal"/>
    <w:uiPriority w:val="99"/>
    <w:semiHidden/>
    <w:unhideWhenUsed/>
    <w:rsid w:val="00BD0147"/>
    <w:pPr>
      <w:spacing w:after="0"/>
      <w:ind w:left="200" w:hanging="200"/>
    </w:pPr>
  </w:style>
  <w:style w:type="paragraph" w:styleId="Title">
    <w:name w:val="Title"/>
    <w:basedOn w:val="Normal"/>
    <w:next w:val="Normal"/>
    <w:link w:val="TitleChar"/>
    <w:uiPriority w:val="99"/>
    <w:rsid w:val="00BD0147"/>
    <w:pPr>
      <w:pBdr>
        <w:bottom w:val="single" w:sz="8" w:space="4" w:color="E36C0A" w:themeColor="accent1"/>
      </w:pBdr>
      <w:spacing w:after="300" w:line="240" w:lineRule="auto"/>
      <w:contextualSpacing/>
    </w:pPr>
    <w:rPr>
      <w:rFonts w:asciiTheme="majorHAnsi" w:eastAsiaTheme="majorEastAsia" w:hAnsiTheme="majorHAnsi" w:cstheme="majorBidi"/>
      <w:color w:val="424242" w:themeColor="text2" w:themeShade="BF"/>
      <w:spacing w:val="5"/>
      <w:kern w:val="28"/>
      <w:sz w:val="52"/>
      <w:szCs w:val="52"/>
    </w:rPr>
  </w:style>
  <w:style w:type="character" w:customStyle="1" w:styleId="TitleChar">
    <w:name w:val="Title Char"/>
    <w:basedOn w:val="DefaultParagraphFont"/>
    <w:link w:val="Title"/>
    <w:uiPriority w:val="99"/>
    <w:rsid w:val="00BD0147"/>
    <w:rPr>
      <w:rFonts w:asciiTheme="majorHAnsi" w:eastAsiaTheme="majorEastAsia" w:hAnsiTheme="majorHAnsi" w:cstheme="majorBidi"/>
      <w:color w:val="424242" w:themeColor="text2" w:themeShade="BF"/>
      <w:spacing w:val="5"/>
      <w:kern w:val="28"/>
      <w:sz w:val="52"/>
      <w:szCs w:val="52"/>
    </w:rPr>
  </w:style>
  <w:style w:type="paragraph" w:styleId="TOAHeading">
    <w:name w:val="toa heading"/>
    <w:basedOn w:val="Normal"/>
    <w:next w:val="Normal"/>
    <w:uiPriority w:val="99"/>
    <w:semiHidden/>
    <w:unhideWhenUsed/>
    <w:rsid w:val="00BD0147"/>
    <w:pPr>
      <w:spacing w:before="120"/>
    </w:pPr>
    <w:rPr>
      <w:rFonts w:asciiTheme="majorHAnsi" w:eastAsiaTheme="majorEastAsia" w:hAnsiTheme="majorHAnsi" w:cstheme="majorBidi"/>
      <w:b/>
      <w:bCs/>
      <w:sz w:val="24"/>
    </w:rPr>
  </w:style>
  <w:style w:type="paragraph" w:styleId="TOC6">
    <w:name w:val="toc 6"/>
    <w:basedOn w:val="Normal"/>
    <w:next w:val="Normal"/>
    <w:autoRedefine/>
    <w:uiPriority w:val="99"/>
    <w:semiHidden/>
    <w:unhideWhenUsed/>
    <w:rsid w:val="00BD0147"/>
    <w:pPr>
      <w:spacing w:after="100"/>
      <w:ind w:left="1000"/>
    </w:pPr>
  </w:style>
  <w:style w:type="paragraph" w:styleId="TOC7">
    <w:name w:val="toc 7"/>
    <w:basedOn w:val="Normal"/>
    <w:next w:val="Normal"/>
    <w:autoRedefine/>
    <w:uiPriority w:val="99"/>
    <w:semiHidden/>
    <w:unhideWhenUsed/>
    <w:rsid w:val="00BD0147"/>
    <w:pPr>
      <w:spacing w:after="100"/>
      <w:ind w:left="1200"/>
    </w:pPr>
  </w:style>
  <w:style w:type="paragraph" w:styleId="TOC8">
    <w:name w:val="toc 8"/>
    <w:basedOn w:val="Normal"/>
    <w:next w:val="Normal"/>
    <w:autoRedefine/>
    <w:uiPriority w:val="99"/>
    <w:semiHidden/>
    <w:unhideWhenUsed/>
    <w:rsid w:val="00BD0147"/>
    <w:pPr>
      <w:spacing w:after="100"/>
      <w:ind w:left="1400"/>
    </w:pPr>
  </w:style>
  <w:style w:type="paragraph" w:styleId="TOC9">
    <w:name w:val="toc 9"/>
    <w:basedOn w:val="Normal"/>
    <w:next w:val="Normal"/>
    <w:autoRedefine/>
    <w:uiPriority w:val="99"/>
    <w:semiHidden/>
    <w:unhideWhenUsed/>
    <w:rsid w:val="00BD0147"/>
    <w:pPr>
      <w:spacing w:after="100"/>
      <w:ind w:left="16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60624568">
      <w:bodyDiv w:val="1"/>
      <w:marLeft w:val="0"/>
      <w:marRight w:val="0"/>
      <w:marTop w:val="0"/>
      <w:marBottom w:val="0"/>
      <w:divBdr>
        <w:top w:val="none" w:sz="0" w:space="0" w:color="auto"/>
        <w:left w:val="none" w:sz="0" w:space="0" w:color="auto"/>
        <w:bottom w:val="none" w:sz="0" w:space="0" w:color="auto"/>
        <w:right w:val="none" w:sz="0" w:space="0" w:color="auto"/>
      </w:divBdr>
    </w:div>
    <w:div w:id="1259171526">
      <w:bodyDiv w:val="1"/>
      <w:marLeft w:val="0"/>
      <w:marRight w:val="0"/>
      <w:marTop w:val="0"/>
      <w:marBottom w:val="0"/>
      <w:divBdr>
        <w:top w:val="none" w:sz="0" w:space="0" w:color="auto"/>
        <w:left w:val="none" w:sz="0" w:space="0" w:color="auto"/>
        <w:bottom w:val="none" w:sz="0" w:space="0" w:color="auto"/>
        <w:right w:val="none" w:sz="0" w:space="0" w:color="auto"/>
      </w:divBdr>
    </w:div>
    <w:div w:id="1325743532">
      <w:bodyDiv w:val="1"/>
      <w:marLeft w:val="0"/>
      <w:marRight w:val="0"/>
      <w:marTop w:val="0"/>
      <w:marBottom w:val="0"/>
      <w:divBdr>
        <w:top w:val="none" w:sz="0" w:space="0" w:color="auto"/>
        <w:left w:val="none" w:sz="0" w:space="0" w:color="auto"/>
        <w:bottom w:val="none" w:sz="0" w:space="0" w:color="auto"/>
        <w:right w:val="none" w:sz="0" w:space="0" w:color="auto"/>
      </w:divBdr>
      <w:divsChild>
        <w:div w:id="1123884206">
          <w:marLeft w:val="0"/>
          <w:marRight w:val="0"/>
          <w:marTop w:val="0"/>
          <w:marBottom w:val="0"/>
          <w:divBdr>
            <w:top w:val="none" w:sz="0" w:space="0" w:color="auto"/>
            <w:left w:val="none" w:sz="0" w:space="0" w:color="auto"/>
            <w:bottom w:val="none" w:sz="0" w:space="0" w:color="auto"/>
            <w:right w:val="none" w:sz="0" w:space="0" w:color="auto"/>
          </w:divBdr>
          <w:divsChild>
            <w:div w:id="279191856">
              <w:marLeft w:val="0"/>
              <w:marRight w:val="0"/>
              <w:marTop w:val="0"/>
              <w:marBottom w:val="0"/>
              <w:divBdr>
                <w:top w:val="none" w:sz="0" w:space="0" w:color="auto"/>
                <w:left w:val="none" w:sz="0" w:space="0" w:color="auto"/>
                <w:bottom w:val="none" w:sz="0" w:space="0" w:color="auto"/>
                <w:right w:val="none" w:sz="0" w:space="0" w:color="auto"/>
              </w:divBdr>
              <w:divsChild>
                <w:div w:id="992836587">
                  <w:marLeft w:val="0"/>
                  <w:marRight w:val="0"/>
                  <w:marTop w:val="0"/>
                  <w:marBottom w:val="0"/>
                  <w:divBdr>
                    <w:top w:val="none" w:sz="0" w:space="0" w:color="auto"/>
                    <w:left w:val="none" w:sz="0" w:space="0" w:color="auto"/>
                    <w:bottom w:val="none" w:sz="0" w:space="0" w:color="auto"/>
                    <w:right w:val="none" w:sz="0" w:space="0" w:color="auto"/>
                  </w:divBdr>
                  <w:divsChild>
                    <w:div w:id="1441219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3.xml"/><Relationship Id="rId18" Type="http://schemas.openxmlformats.org/officeDocument/2006/relationships/footer" Target="footer5.xml"/><Relationship Id="rId26" Type="http://schemas.openxmlformats.org/officeDocument/2006/relationships/image" Target="media/image7.jpeg"/><Relationship Id="rId39" Type="http://schemas.openxmlformats.org/officeDocument/2006/relationships/theme" Target="theme/theme1.xml"/><Relationship Id="rId3" Type="http://schemas.microsoft.com/office/2007/relationships/stylesWithEffects" Target="stylesWithEffects.xml"/><Relationship Id="rId21" Type="http://schemas.openxmlformats.org/officeDocument/2006/relationships/image" Target="media/image2.jpeg"/><Relationship Id="rId34" Type="http://schemas.openxmlformats.org/officeDocument/2006/relationships/hyperlink" Target="http://www.smec.com" TargetMode="Externa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footer" Target="footer4.xml"/><Relationship Id="rId25" Type="http://schemas.openxmlformats.org/officeDocument/2006/relationships/image" Target="media/image6.jpeg"/><Relationship Id="rId33" Type="http://schemas.openxmlformats.org/officeDocument/2006/relationships/hyperlink" Target="mailto:sydney@smec.com" TargetMode="External"/><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eader" Target="header5.xml"/><Relationship Id="rId20" Type="http://schemas.openxmlformats.org/officeDocument/2006/relationships/footer" Target="footer6.xml"/><Relationship Id="rId29" Type="http://schemas.openxmlformats.org/officeDocument/2006/relationships/header" Target="header7.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5.jpeg"/><Relationship Id="rId32" Type="http://schemas.openxmlformats.org/officeDocument/2006/relationships/header" Target="header9.xml"/><Relationship Id="rId37" Type="http://schemas.openxmlformats.org/officeDocument/2006/relationships/header" Target="header12.xml"/><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4.jpeg"/><Relationship Id="rId28" Type="http://schemas.openxmlformats.org/officeDocument/2006/relationships/image" Target="media/image9.jpeg"/><Relationship Id="rId36" Type="http://schemas.openxmlformats.org/officeDocument/2006/relationships/header" Target="header11.xml"/><Relationship Id="rId10" Type="http://schemas.openxmlformats.org/officeDocument/2006/relationships/header" Target="header2.xml"/><Relationship Id="rId19" Type="http://schemas.openxmlformats.org/officeDocument/2006/relationships/header" Target="header6.xml"/><Relationship Id="rId31" Type="http://schemas.openxmlformats.org/officeDocument/2006/relationships/footer" Target="footer7.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3.jpeg"/><Relationship Id="rId27" Type="http://schemas.openxmlformats.org/officeDocument/2006/relationships/image" Target="media/image8.jpeg"/><Relationship Id="rId30" Type="http://schemas.openxmlformats.org/officeDocument/2006/relationships/header" Target="header8.xml"/><Relationship Id="rId35" Type="http://schemas.openxmlformats.org/officeDocument/2006/relationships/header" Target="header10.xml"/></Relationships>
</file>

<file path=word/theme/theme1.xml><?xml version="1.0" encoding="utf-8"?>
<a:theme xmlns:a="http://schemas.openxmlformats.org/drawingml/2006/main" name="Office Theme">
  <a:themeElements>
    <a:clrScheme name="SMEC">
      <a:dk1>
        <a:sysClr val="windowText" lastClr="000000"/>
      </a:dk1>
      <a:lt1>
        <a:sysClr val="window" lastClr="FFFFFF"/>
      </a:lt1>
      <a:dk2>
        <a:srgbClr val="595959"/>
      </a:dk2>
      <a:lt2>
        <a:srgbClr val="EEECE1"/>
      </a:lt2>
      <a:accent1>
        <a:srgbClr val="E36C0A"/>
      </a:accent1>
      <a:accent2>
        <a:srgbClr val="97AF00"/>
      </a:accent2>
      <a:accent3>
        <a:srgbClr val="427D30"/>
      </a:accent3>
      <a:accent4>
        <a:srgbClr val="FECB00"/>
      </a:accent4>
      <a:accent5>
        <a:srgbClr val="EBAE89"/>
      </a:accent5>
      <a:accent6>
        <a:srgbClr val="E36C0A"/>
      </a:accent6>
      <a:hlink>
        <a:srgbClr val="548DD4"/>
      </a:hlink>
      <a:folHlink>
        <a:srgbClr val="B2A2C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102</Pages>
  <Words>36092</Words>
  <Characters>205725</Characters>
  <Application>Microsoft Office Word</Application>
  <DocSecurity>0</DocSecurity>
  <Lines>1714</Lines>
  <Paragraphs>482</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241335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
  <cp:revision>1</cp:revision>
  <dcterms:created xsi:type="dcterms:W3CDTF">2014-11-18T21:51:00Z</dcterms:created>
  <dcterms:modified xsi:type="dcterms:W3CDTF">2014-11-18T22:48:00Z</dcterms:modified>
</cp:coreProperties>
</file>